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C0EDF" w14:textId="7D34535F" w:rsidR="003A5739" w:rsidRPr="004A5F98" w:rsidRDefault="00D80AF8" w:rsidP="00D80AF8">
      <w:pPr>
        <w:pStyle w:val="CERcovertitle"/>
        <w:spacing w:line="0" w:lineRule="atLeast"/>
        <w:rPr>
          <w:color w:val="046B99"/>
          <w:sz w:val="72"/>
          <w:szCs w:val="72"/>
        </w:rPr>
      </w:pPr>
      <w:r w:rsidRPr="00D80AF8">
        <w:rPr>
          <w:color w:val="046B99"/>
          <w:sz w:val="72"/>
          <w:szCs w:val="72"/>
        </w:rPr>
        <w:t xml:space="preserve">Technical </w:t>
      </w:r>
      <w:r w:rsidR="000F2F61" w:rsidRPr="000F2F61">
        <w:rPr>
          <w:color w:val="046B99"/>
          <w:sz w:val="72"/>
          <w:szCs w:val="72"/>
        </w:rPr>
        <w:t xml:space="preserve">Advisory </w:t>
      </w:r>
      <w:r w:rsidRPr="00D80AF8">
        <w:rPr>
          <w:color w:val="046B99"/>
          <w:sz w:val="72"/>
          <w:szCs w:val="72"/>
        </w:rPr>
        <w:t>Committee</w:t>
      </w:r>
    </w:p>
    <w:p w14:paraId="65635873" w14:textId="08C5E775" w:rsidR="003A5739" w:rsidRPr="004A5F98" w:rsidRDefault="002368DE" w:rsidP="005C1D9C">
      <w:pPr>
        <w:pStyle w:val="CERcoversubtitle"/>
        <w:spacing w:line="276" w:lineRule="auto"/>
        <w:rPr>
          <w:color w:val="046B99"/>
        </w:rPr>
      </w:pPr>
      <w:bookmarkStart w:id="0" w:name="_Toc68169081"/>
      <w:bookmarkStart w:id="1" w:name="_Toc220426925"/>
      <w:r w:rsidRPr="004A5F98">
        <w:rPr>
          <w:color w:val="046B99"/>
        </w:rPr>
        <w:t xml:space="preserve">Information Paper: Committee considerations for interpreting the </w:t>
      </w:r>
      <w:r w:rsidR="005C1D9C" w:rsidRPr="004A5F98">
        <w:rPr>
          <w:color w:val="046B99"/>
        </w:rPr>
        <w:br/>
      </w:r>
      <w:r w:rsidR="00D80AF8">
        <w:rPr>
          <w:rFonts w:eastAsiaTheme="minorEastAsia" w:hint="eastAsia"/>
          <w:color w:val="046B99"/>
          <w:lang w:eastAsia="zh-CN"/>
        </w:rPr>
        <w:t>BidCarbon Standard Scheme</w:t>
      </w:r>
      <w:r w:rsidRPr="004A5F98">
        <w:rPr>
          <w:color w:val="046B99"/>
        </w:rPr>
        <w:t>’s offsets integrity standards</w:t>
      </w:r>
      <w:bookmarkEnd w:id="0"/>
      <w:bookmarkEnd w:id="1"/>
    </w:p>
    <w:p w14:paraId="44312507" w14:textId="21C26091" w:rsidR="002368DE" w:rsidRPr="005812D0" w:rsidRDefault="002368DE" w:rsidP="005812D0">
      <w:pPr>
        <w:spacing w:after="0" w:line="276" w:lineRule="auto"/>
        <w:rPr>
          <w:color w:val="046B99"/>
        </w:rPr>
      </w:pPr>
      <w:r w:rsidRPr="004A5F98">
        <w:rPr>
          <w:color w:val="046B99"/>
        </w:rPr>
        <w:t xml:space="preserve">Version </w:t>
      </w:r>
      <w:r w:rsidR="004A5F98">
        <w:rPr>
          <w:rFonts w:hint="eastAsia"/>
          <w:color w:val="046B99"/>
          <w:lang w:eastAsia="zh-CN"/>
        </w:rPr>
        <w:t>1</w:t>
      </w:r>
      <w:r w:rsidRPr="004A5F98">
        <w:rPr>
          <w:color w:val="046B99"/>
        </w:rPr>
        <w:t>.</w:t>
      </w:r>
      <w:r w:rsidR="001843FD">
        <w:rPr>
          <w:rFonts w:hint="eastAsia"/>
          <w:color w:val="046B99"/>
          <w:lang w:eastAsia="zh-CN"/>
        </w:rPr>
        <w:t>1</w:t>
      </w:r>
      <w:r w:rsidR="003A5739" w:rsidRPr="004A5F98">
        <w:rPr>
          <w:color w:val="046B99"/>
        </w:rPr>
        <w:br w:type="page"/>
      </w:r>
    </w:p>
    <w:p w14:paraId="2C665E94" w14:textId="77777777" w:rsidR="002368DE" w:rsidRPr="008E0064" w:rsidRDefault="002368DE" w:rsidP="005C1D9C">
      <w:pPr>
        <w:pStyle w:val="50"/>
        <w:spacing w:line="276" w:lineRule="auto"/>
        <w:rPr>
          <w:rFonts w:cstheme="minorHAnsi"/>
          <w:sz w:val="30"/>
          <w:szCs w:val="30"/>
        </w:rPr>
      </w:pPr>
      <w:r w:rsidRPr="008E0064">
        <w:rPr>
          <w:rFonts w:cstheme="minorHAnsi"/>
          <w:sz w:val="30"/>
          <w:szCs w:val="30"/>
        </w:rPr>
        <w:lastRenderedPageBreak/>
        <w:t>Document History</w:t>
      </w:r>
    </w:p>
    <w:p w14:paraId="6E4726DC" w14:textId="77777777" w:rsidR="002368DE" w:rsidRPr="005C1D9C" w:rsidRDefault="002368DE" w:rsidP="005C1D9C">
      <w:pPr>
        <w:spacing w:after="0" w:line="276" w:lineRule="auto"/>
        <w:rPr>
          <w:b/>
        </w:rPr>
      </w:pP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768"/>
        <w:gridCol w:w="2053"/>
        <w:gridCol w:w="5909"/>
      </w:tblGrid>
      <w:tr w:rsidR="002368DE" w:rsidRPr="005C1D9C" w14:paraId="001E3009" w14:textId="77777777" w:rsidTr="008E2AC3">
        <w:tc>
          <w:tcPr>
            <w:tcW w:w="1768" w:type="dxa"/>
            <w:shd w:val="clear" w:color="auto" w:fill="D9D9D9" w:themeFill="background1" w:themeFillShade="D9"/>
            <w:vAlign w:val="center"/>
            <w:hideMark/>
          </w:tcPr>
          <w:p w14:paraId="3AAAB09F" w14:textId="77777777" w:rsidR="002368DE" w:rsidRPr="005C1D9C" w:rsidRDefault="002368DE" w:rsidP="005C1D9C">
            <w:pPr>
              <w:spacing w:before="240" w:line="276" w:lineRule="auto"/>
              <w:rPr>
                <w:bCs/>
              </w:rPr>
            </w:pPr>
            <w:r w:rsidRPr="005C1D9C">
              <w:rPr>
                <w:b/>
                <w:bCs/>
              </w:rPr>
              <w:t>Version</w:t>
            </w:r>
          </w:p>
        </w:tc>
        <w:tc>
          <w:tcPr>
            <w:tcW w:w="2053" w:type="dxa"/>
            <w:shd w:val="clear" w:color="auto" w:fill="D9D9D9" w:themeFill="background1" w:themeFillShade="D9"/>
            <w:vAlign w:val="center"/>
            <w:hideMark/>
          </w:tcPr>
          <w:p w14:paraId="4146906A" w14:textId="77777777" w:rsidR="002368DE" w:rsidRPr="005C1D9C" w:rsidRDefault="002368DE" w:rsidP="005C1D9C">
            <w:pPr>
              <w:spacing w:before="240" w:line="276" w:lineRule="auto"/>
              <w:rPr>
                <w:bCs/>
              </w:rPr>
            </w:pPr>
            <w:r w:rsidRPr="005C1D9C">
              <w:rPr>
                <w:b/>
                <w:bCs/>
              </w:rPr>
              <w:t>Date</w:t>
            </w:r>
          </w:p>
        </w:tc>
        <w:tc>
          <w:tcPr>
            <w:tcW w:w="5909" w:type="dxa"/>
            <w:shd w:val="clear" w:color="auto" w:fill="D9D9D9" w:themeFill="background1" w:themeFillShade="D9"/>
            <w:vAlign w:val="center"/>
            <w:hideMark/>
          </w:tcPr>
          <w:p w14:paraId="4B1F0561" w14:textId="77777777" w:rsidR="002368DE" w:rsidRPr="005C1D9C" w:rsidRDefault="002368DE" w:rsidP="005C1D9C">
            <w:pPr>
              <w:spacing w:before="240" w:line="276" w:lineRule="auto"/>
              <w:rPr>
                <w:bCs/>
              </w:rPr>
            </w:pPr>
            <w:r w:rsidRPr="005C1D9C">
              <w:rPr>
                <w:b/>
                <w:bCs/>
              </w:rPr>
              <w:t>Details</w:t>
            </w:r>
          </w:p>
        </w:tc>
      </w:tr>
      <w:tr w:rsidR="002368DE" w:rsidRPr="005C1D9C" w14:paraId="68AB5844" w14:textId="77777777" w:rsidTr="008E2AC3">
        <w:tc>
          <w:tcPr>
            <w:tcW w:w="1768" w:type="dxa"/>
            <w:hideMark/>
          </w:tcPr>
          <w:p w14:paraId="21257BEC" w14:textId="69B8C354" w:rsidR="002368DE" w:rsidRPr="005C1D9C" w:rsidRDefault="002368DE" w:rsidP="005C1D9C">
            <w:pPr>
              <w:spacing w:before="240" w:line="276" w:lineRule="auto"/>
            </w:pPr>
          </w:p>
        </w:tc>
        <w:tc>
          <w:tcPr>
            <w:tcW w:w="2053" w:type="dxa"/>
            <w:hideMark/>
          </w:tcPr>
          <w:p w14:paraId="360FDE7C" w14:textId="28F46731" w:rsidR="002368DE" w:rsidRPr="005C1D9C" w:rsidRDefault="002368DE" w:rsidP="005C1D9C">
            <w:pPr>
              <w:spacing w:before="240" w:line="276" w:lineRule="auto"/>
            </w:pPr>
          </w:p>
        </w:tc>
        <w:tc>
          <w:tcPr>
            <w:tcW w:w="5909" w:type="dxa"/>
          </w:tcPr>
          <w:p w14:paraId="19D7036E" w14:textId="77777777" w:rsidR="002368DE" w:rsidRPr="005C1D9C" w:rsidRDefault="002368DE" w:rsidP="005C1D9C">
            <w:pPr>
              <w:spacing w:before="240" w:line="276" w:lineRule="auto"/>
            </w:pPr>
          </w:p>
        </w:tc>
      </w:tr>
    </w:tbl>
    <w:p w14:paraId="1CBA5283" w14:textId="77777777" w:rsidR="002368DE" w:rsidRPr="005C1D9C" w:rsidRDefault="002368DE" w:rsidP="005C1D9C">
      <w:pPr>
        <w:pStyle w:val="20"/>
        <w:spacing w:line="276" w:lineRule="auto"/>
      </w:pPr>
      <w:r w:rsidRPr="005C1D9C">
        <w:rPr>
          <w:b w:val="0"/>
          <w:bCs w:val="0"/>
        </w:rPr>
        <w:br w:type="page"/>
      </w:r>
    </w:p>
    <w:p w14:paraId="32FC3E3D" w14:textId="77777777" w:rsidR="002368DE" w:rsidRPr="005C1D9C" w:rsidRDefault="002368DE" w:rsidP="005C1D9C">
      <w:pPr>
        <w:pStyle w:val="20"/>
        <w:spacing w:line="276" w:lineRule="auto"/>
        <w:rPr>
          <w:bCs w:val="0"/>
        </w:rPr>
      </w:pPr>
      <w:bookmarkStart w:id="2" w:name="_Toc220426926"/>
      <w:r w:rsidRPr="005C1D9C">
        <w:rPr>
          <w:bCs w:val="0"/>
        </w:rPr>
        <w:lastRenderedPageBreak/>
        <w:t>1. Purpose of this information paper</w:t>
      </w:r>
      <w:bookmarkEnd w:id="2"/>
    </w:p>
    <w:p w14:paraId="11EC6B0D" w14:textId="14781982" w:rsidR="002368DE" w:rsidRPr="00407DD0" w:rsidRDefault="002368DE" w:rsidP="005C1D9C">
      <w:pPr>
        <w:spacing w:line="276" w:lineRule="auto"/>
        <w:rPr>
          <w:sz w:val="24"/>
        </w:rPr>
      </w:pPr>
      <w:r w:rsidRPr="00407DD0">
        <w:rPr>
          <w:sz w:val="24"/>
        </w:rPr>
        <w:t xml:space="preserve">The </w:t>
      </w:r>
      <w:r w:rsidR="000F2F61" w:rsidRPr="00407DD0">
        <w:rPr>
          <w:sz w:val="24"/>
        </w:rPr>
        <w:t>Technical Advisory Committee</w:t>
      </w:r>
      <w:r w:rsidRPr="00407DD0">
        <w:rPr>
          <w:sz w:val="24"/>
        </w:rPr>
        <w:t xml:space="preserve"> (</w:t>
      </w:r>
      <w:r w:rsidR="008E2AC3">
        <w:rPr>
          <w:sz w:val="24"/>
        </w:rPr>
        <w:t>the TAC</w:t>
      </w:r>
      <w:r w:rsidRPr="00407DD0">
        <w:rPr>
          <w:sz w:val="24"/>
        </w:rPr>
        <w:t xml:space="preserve">) is an independent </w:t>
      </w:r>
      <w:r w:rsidR="000F2F61" w:rsidRPr="00407DD0">
        <w:rPr>
          <w:rFonts w:hint="eastAsia"/>
          <w:sz w:val="24"/>
          <w:lang w:eastAsia="zh-CN"/>
        </w:rPr>
        <w:t>c</w:t>
      </w:r>
      <w:r w:rsidR="000F2F61" w:rsidRPr="00407DD0">
        <w:rPr>
          <w:sz w:val="24"/>
        </w:rPr>
        <w:t xml:space="preserve">ommittee </w:t>
      </w:r>
      <w:r w:rsidRPr="00407DD0">
        <w:rPr>
          <w:sz w:val="24"/>
        </w:rPr>
        <w:t xml:space="preserve">established under the </w:t>
      </w:r>
      <w:r w:rsidR="000F2F61" w:rsidRPr="00407DD0">
        <w:rPr>
          <w:i/>
          <w:sz w:val="24"/>
        </w:rPr>
        <w:t>BidCarbon (Carbon Farming) Standard 2025</w:t>
      </w:r>
      <w:r w:rsidRPr="00407DD0">
        <w:rPr>
          <w:sz w:val="24"/>
        </w:rPr>
        <w:t xml:space="preserve"> (</w:t>
      </w:r>
      <w:r w:rsidR="000F2F61" w:rsidRPr="00407DD0">
        <w:rPr>
          <w:sz w:val="24"/>
        </w:rPr>
        <w:t>the Carbon Farming Standard</w:t>
      </w:r>
      <w:r w:rsidRPr="00407DD0">
        <w:rPr>
          <w:sz w:val="24"/>
        </w:rPr>
        <w:t xml:space="preserve">). Committee members are appointed due to their expertise and experience in fields relevant to the </w:t>
      </w:r>
      <w:r w:rsidR="000F2F61" w:rsidRPr="00407DD0">
        <w:rPr>
          <w:sz w:val="24"/>
        </w:rPr>
        <w:t>BidCarbon Standard Scheme</w:t>
      </w:r>
      <w:r w:rsidRPr="00407DD0">
        <w:rPr>
          <w:sz w:val="24"/>
        </w:rPr>
        <w:t xml:space="preserve">. </w:t>
      </w:r>
      <w:r w:rsidR="008E2AC3">
        <w:rPr>
          <w:sz w:val="24"/>
        </w:rPr>
        <w:t>The TAC</w:t>
      </w:r>
      <w:r w:rsidRPr="00407DD0">
        <w:rPr>
          <w:sz w:val="24"/>
        </w:rPr>
        <w:t xml:space="preserve"> plays a central role in ensuring the integrity of the Fund, including by:</w:t>
      </w:r>
    </w:p>
    <w:p w14:paraId="35D390BD" w14:textId="1826EDAB" w:rsidR="002368DE" w:rsidRPr="00407DD0" w:rsidRDefault="006E6B62" w:rsidP="005C1D9C">
      <w:pPr>
        <w:pStyle w:val="ERACbullets"/>
        <w:numPr>
          <w:ilvl w:val="0"/>
          <w:numId w:val="33"/>
        </w:numPr>
        <w:ind w:left="357" w:hanging="357"/>
        <w:rPr>
          <w:rFonts w:asciiTheme="minorHAnsi" w:hAnsiTheme="minorHAnsi" w:cstheme="minorHAnsi"/>
          <w:sz w:val="24"/>
          <w:szCs w:val="24"/>
        </w:rPr>
      </w:pPr>
      <w:r w:rsidRPr="00407DD0">
        <w:rPr>
          <w:rFonts w:asciiTheme="minorHAnsi" w:hAnsiTheme="minorHAnsi" w:cstheme="minorHAnsi"/>
          <w:sz w:val="24"/>
          <w:szCs w:val="24"/>
        </w:rPr>
        <w:t xml:space="preserve">advising the Technical Governance Committee and the Secretary on the compliance of draft methods and variations with the </w:t>
      </w:r>
      <w:proofErr w:type="gramStart"/>
      <w:r w:rsidRPr="00407DD0">
        <w:rPr>
          <w:rFonts w:asciiTheme="minorHAnsi" w:hAnsiTheme="minorHAnsi" w:cstheme="minorHAnsi"/>
          <w:sz w:val="24"/>
          <w:szCs w:val="24"/>
        </w:rPr>
        <w:t>offsets</w:t>
      </w:r>
      <w:proofErr w:type="gramEnd"/>
      <w:r w:rsidRPr="00407DD0">
        <w:rPr>
          <w:rFonts w:asciiTheme="minorHAnsi" w:hAnsiTheme="minorHAnsi" w:cstheme="minorHAnsi"/>
          <w:sz w:val="24"/>
          <w:szCs w:val="24"/>
        </w:rPr>
        <w:t xml:space="preserve"> integrity standard</w:t>
      </w:r>
      <w:r w:rsidR="002368DE" w:rsidRPr="00407DD0">
        <w:rPr>
          <w:rFonts w:asciiTheme="minorHAnsi" w:hAnsiTheme="minorHAnsi" w:cstheme="minorHAnsi"/>
          <w:sz w:val="24"/>
          <w:szCs w:val="24"/>
        </w:rPr>
        <w:t>s</w:t>
      </w:r>
    </w:p>
    <w:p w14:paraId="10647349" w14:textId="77777777" w:rsidR="002368DE" w:rsidRPr="00407DD0" w:rsidRDefault="002368DE" w:rsidP="005C1D9C">
      <w:pPr>
        <w:pStyle w:val="ERACbullets"/>
        <w:numPr>
          <w:ilvl w:val="0"/>
          <w:numId w:val="33"/>
        </w:numPr>
        <w:ind w:left="357" w:hanging="357"/>
        <w:rPr>
          <w:rFonts w:asciiTheme="minorHAnsi" w:hAnsiTheme="minorHAnsi" w:cstheme="minorHAnsi"/>
          <w:sz w:val="24"/>
          <w:szCs w:val="24"/>
        </w:rPr>
      </w:pPr>
      <w:r w:rsidRPr="00407DD0">
        <w:rPr>
          <w:rFonts w:asciiTheme="minorHAnsi" w:hAnsiTheme="minorHAnsi" w:cstheme="minorHAnsi"/>
          <w:sz w:val="24"/>
          <w:szCs w:val="24"/>
        </w:rPr>
        <w:t xml:space="preserve">monitoring the compliance of existing methods with the </w:t>
      </w:r>
      <w:proofErr w:type="gramStart"/>
      <w:r w:rsidRPr="00407DD0">
        <w:rPr>
          <w:rFonts w:asciiTheme="minorHAnsi" w:hAnsiTheme="minorHAnsi" w:cstheme="minorHAnsi"/>
          <w:sz w:val="24"/>
          <w:szCs w:val="24"/>
        </w:rPr>
        <w:t>offsets</w:t>
      </w:r>
      <w:proofErr w:type="gramEnd"/>
      <w:r w:rsidRPr="00407DD0">
        <w:rPr>
          <w:rFonts w:asciiTheme="minorHAnsi" w:hAnsiTheme="minorHAnsi" w:cstheme="minorHAnsi"/>
          <w:sz w:val="24"/>
          <w:szCs w:val="24"/>
        </w:rPr>
        <w:t xml:space="preserve"> integrity standards</w:t>
      </w:r>
    </w:p>
    <w:p w14:paraId="78A77C13" w14:textId="77777777" w:rsidR="002368DE" w:rsidRPr="00407DD0" w:rsidRDefault="002368DE" w:rsidP="005C1D9C">
      <w:pPr>
        <w:pStyle w:val="ERACbullets"/>
        <w:numPr>
          <w:ilvl w:val="0"/>
          <w:numId w:val="33"/>
        </w:numPr>
        <w:ind w:left="357" w:hanging="357"/>
        <w:rPr>
          <w:rFonts w:asciiTheme="minorHAnsi" w:hAnsiTheme="minorHAnsi" w:cstheme="minorHAnsi"/>
          <w:sz w:val="24"/>
          <w:szCs w:val="24"/>
        </w:rPr>
      </w:pPr>
      <w:r w:rsidRPr="00407DD0">
        <w:rPr>
          <w:rFonts w:asciiTheme="minorHAnsi" w:hAnsiTheme="minorHAnsi" w:cstheme="minorHAnsi"/>
          <w:sz w:val="24"/>
          <w:szCs w:val="24"/>
        </w:rPr>
        <w:t>undertaking periodic reviews and crediting period extension reviews</w:t>
      </w:r>
    </w:p>
    <w:p w14:paraId="4C4FECD2" w14:textId="77777777" w:rsidR="002368DE" w:rsidRPr="00407DD0" w:rsidRDefault="002368DE" w:rsidP="005C1D9C">
      <w:pPr>
        <w:pStyle w:val="ERACbullets"/>
        <w:numPr>
          <w:ilvl w:val="0"/>
          <w:numId w:val="33"/>
        </w:numPr>
        <w:ind w:left="357" w:hanging="357"/>
        <w:rPr>
          <w:rFonts w:asciiTheme="minorHAnsi" w:hAnsiTheme="minorHAnsi" w:cstheme="minorHAnsi"/>
          <w:sz w:val="24"/>
          <w:szCs w:val="24"/>
        </w:rPr>
      </w:pPr>
      <w:r w:rsidRPr="00407DD0">
        <w:rPr>
          <w:rFonts w:asciiTheme="minorHAnsi" w:hAnsiTheme="minorHAnsi" w:cstheme="minorHAnsi"/>
          <w:sz w:val="24"/>
          <w:szCs w:val="24"/>
        </w:rPr>
        <w:t xml:space="preserve">ordering the suspension of methods where there is </w:t>
      </w:r>
      <w:proofErr w:type="gramStart"/>
      <w:r w:rsidRPr="00407DD0">
        <w:rPr>
          <w:rFonts w:asciiTheme="minorHAnsi" w:hAnsiTheme="minorHAnsi" w:cstheme="minorHAnsi"/>
          <w:sz w:val="24"/>
          <w:szCs w:val="24"/>
        </w:rPr>
        <w:t>evidence</w:t>
      </w:r>
      <w:proofErr w:type="gramEnd"/>
      <w:r w:rsidRPr="00407DD0">
        <w:rPr>
          <w:rFonts w:asciiTheme="minorHAnsi" w:hAnsiTheme="minorHAnsi" w:cstheme="minorHAnsi"/>
          <w:sz w:val="24"/>
          <w:szCs w:val="24"/>
        </w:rPr>
        <w:t xml:space="preserve"> they do not meet the offsets integrity standards.</w:t>
      </w:r>
    </w:p>
    <w:p w14:paraId="313D2150" w14:textId="1E020D89" w:rsidR="002368DE" w:rsidRPr="00407DD0" w:rsidRDefault="002368DE" w:rsidP="005C1D9C">
      <w:pPr>
        <w:spacing w:line="276" w:lineRule="auto"/>
        <w:rPr>
          <w:sz w:val="24"/>
        </w:rPr>
      </w:pPr>
      <w:r w:rsidRPr="00407DD0">
        <w:rPr>
          <w:sz w:val="24"/>
        </w:rPr>
        <w:t xml:space="preserve">This information paper is issued by </w:t>
      </w:r>
      <w:r w:rsidR="008E2AC3">
        <w:rPr>
          <w:sz w:val="24"/>
        </w:rPr>
        <w:t>the TAC</w:t>
      </w:r>
      <w:r w:rsidRPr="00407DD0">
        <w:rPr>
          <w:sz w:val="24"/>
        </w:rPr>
        <w:t xml:space="preserve"> to provide information on how it interprets the offsets integrity standards under </w:t>
      </w:r>
      <w:r w:rsidR="000F2F61" w:rsidRPr="00407DD0">
        <w:rPr>
          <w:sz w:val="24"/>
        </w:rPr>
        <w:t>the Carbon Farming Standard</w:t>
      </w:r>
      <w:r w:rsidRPr="00407DD0">
        <w:rPr>
          <w:sz w:val="24"/>
        </w:rPr>
        <w:t xml:space="preserve">. It was prepared with the assistance of </w:t>
      </w:r>
      <w:r w:rsidR="006E6B62" w:rsidRPr="00407DD0">
        <w:rPr>
          <w:sz w:val="24"/>
        </w:rPr>
        <w:t>the Secretary</w:t>
      </w:r>
      <w:r w:rsidRPr="00407DD0">
        <w:rPr>
          <w:sz w:val="24"/>
        </w:rPr>
        <w:t xml:space="preserve"> and the </w:t>
      </w:r>
      <w:r w:rsidR="006E6B62" w:rsidRPr="00407DD0">
        <w:rPr>
          <w:sz w:val="24"/>
        </w:rPr>
        <w:t>Technical Governance Committee</w:t>
      </w:r>
      <w:r w:rsidRPr="00407DD0">
        <w:rPr>
          <w:sz w:val="24"/>
        </w:rPr>
        <w:t xml:space="preserve"> (</w:t>
      </w:r>
      <w:r w:rsidR="000538F2">
        <w:rPr>
          <w:rFonts w:hint="eastAsia"/>
          <w:sz w:val="24"/>
          <w:lang w:eastAsia="zh-CN"/>
        </w:rPr>
        <w:t>Technical Governance Committee</w:t>
      </w:r>
      <w:r w:rsidRPr="00407DD0">
        <w:rPr>
          <w:sz w:val="24"/>
        </w:rPr>
        <w:t>). This information paper is intended to be a working document that will be updated from time to time to explain new considerations relating to the interpretation of the standards.</w:t>
      </w:r>
    </w:p>
    <w:p w14:paraId="1133B88E" w14:textId="788D46C1" w:rsidR="002368DE" w:rsidRPr="005C1D9C" w:rsidRDefault="002368DE" w:rsidP="005C1D9C">
      <w:pPr>
        <w:pStyle w:val="20"/>
        <w:spacing w:line="276" w:lineRule="auto"/>
        <w:rPr>
          <w:lang w:val="en"/>
        </w:rPr>
      </w:pPr>
      <w:bookmarkStart w:id="3" w:name="_Toc220426927"/>
      <w:r w:rsidRPr="005C1D9C">
        <w:rPr>
          <w:bCs w:val="0"/>
          <w:lang w:val="en"/>
        </w:rPr>
        <w:t>2.</w:t>
      </w:r>
      <w:r w:rsidRPr="005C1D9C">
        <w:rPr>
          <w:bCs w:val="0"/>
          <w:lang w:val="en"/>
        </w:rPr>
        <w:tab/>
        <w:t xml:space="preserve">What is </w:t>
      </w:r>
      <w:r w:rsidR="006E6B62">
        <w:rPr>
          <w:bCs w:val="0"/>
          <w:lang w:val="en"/>
        </w:rPr>
        <w:t>the BidCarbon Standard Scheme</w:t>
      </w:r>
      <w:r w:rsidRPr="005C1D9C">
        <w:rPr>
          <w:bCs w:val="0"/>
          <w:lang w:val="en"/>
        </w:rPr>
        <w:t>?</w:t>
      </w:r>
      <w:bookmarkEnd w:id="3"/>
    </w:p>
    <w:p w14:paraId="083BE5CC" w14:textId="3EB60093" w:rsidR="002368DE" w:rsidRPr="00407DD0" w:rsidRDefault="00FF589E" w:rsidP="005C1D9C">
      <w:pPr>
        <w:spacing w:after="240" w:line="276" w:lineRule="auto"/>
        <w:rPr>
          <w:sz w:val="24"/>
        </w:rPr>
      </w:pPr>
      <w:r w:rsidRPr="00407DD0">
        <w:rPr>
          <w:sz w:val="24"/>
          <w:lang w:val="en"/>
        </w:rPr>
        <w:t xml:space="preserve">The BidCarbon Standard Scheme is designed to help participants achieve its emissions reduction targets. It comprises </w:t>
      </w:r>
      <w:r w:rsidR="008E2AC3">
        <w:rPr>
          <w:rFonts w:hint="eastAsia"/>
          <w:sz w:val="24"/>
          <w:lang w:val="en" w:eastAsia="zh-CN"/>
        </w:rPr>
        <w:t>two</w:t>
      </w:r>
      <w:r w:rsidRPr="00407DD0">
        <w:rPr>
          <w:sz w:val="24"/>
          <w:lang w:val="en"/>
        </w:rPr>
        <w:t xml:space="preserve"> components</w:t>
      </w:r>
      <w:r w:rsidR="002368DE" w:rsidRPr="00407DD0">
        <w:rPr>
          <w:sz w:val="24"/>
        </w:rPr>
        <w:t>:</w:t>
      </w:r>
    </w:p>
    <w:p w14:paraId="7CEB7E26" w14:textId="41247A82" w:rsidR="002368DE" w:rsidRPr="00407DD0" w:rsidRDefault="002368DE" w:rsidP="005C1D9C">
      <w:pPr>
        <w:pStyle w:val="ERACbullets"/>
        <w:numPr>
          <w:ilvl w:val="0"/>
          <w:numId w:val="33"/>
        </w:numPr>
        <w:ind w:left="357" w:hanging="357"/>
        <w:rPr>
          <w:rFonts w:asciiTheme="minorHAnsi" w:hAnsiTheme="minorHAnsi" w:cstheme="minorHAnsi"/>
          <w:sz w:val="24"/>
          <w:szCs w:val="24"/>
        </w:rPr>
      </w:pPr>
      <w:r w:rsidRPr="00407DD0">
        <w:rPr>
          <w:rFonts w:asciiTheme="minorHAnsi" w:hAnsiTheme="minorHAnsi" w:cstheme="minorHAnsi"/>
          <w:sz w:val="24"/>
          <w:szCs w:val="24"/>
        </w:rPr>
        <w:t>the crediting mechanism, which consists of a process for the issuance of carbon credits (known as ‘</w:t>
      </w:r>
      <w:r w:rsidR="008E2AC3">
        <w:rPr>
          <w:rFonts w:asciiTheme="minorHAnsi" w:hAnsiTheme="minorHAnsi" w:cstheme="minorHAnsi"/>
          <w:sz w:val="24"/>
          <w:szCs w:val="24"/>
        </w:rPr>
        <w:t>BidCarbon Removal Unit</w:t>
      </w:r>
      <w:r w:rsidR="00FF589E" w:rsidRPr="00407DD0">
        <w:rPr>
          <w:rFonts w:asciiTheme="minorHAnsi" w:hAnsiTheme="minorHAnsi" w:cstheme="minorHAnsi"/>
          <w:sz w:val="24"/>
          <w:szCs w:val="24"/>
        </w:rPr>
        <w:t>s</w:t>
      </w:r>
      <w:r w:rsidRPr="00407DD0">
        <w:rPr>
          <w:rFonts w:asciiTheme="minorHAnsi" w:hAnsiTheme="minorHAnsi" w:cstheme="minorHAnsi"/>
          <w:sz w:val="24"/>
          <w:szCs w:val="24"/>
        </w:rPr>
        <w:t xml:space="preserve">’ – </w:t>
      </w:r>
      <w:r w:rsidR="00FF589E" w:rsidRPr="00407DD0">
        <w:rPr>
          <w:rFonts w:asciiTheme="minorHAnsi" w:hAnsiTheme="minorHAnsi" w:cstheme="minorHAnsi"/>
          <w:sz w:val="24"/>
          <w:szCs w:val="24"/>
        </w:rPr>
        <w:t>BRUs</w:t>
      </w:r>
      <w:r w:rsidRPr="00407DD0">
        <w:rPr>
          <w:rFonts w:asciiTheme="minorHAnsi" w:hAnsiTheme="minorHAnsi" w:cstheme="minorHAnsi"/>
          <w:sz w:val="24"/>
          <w:szCs w:val="24"/>
        </w:rPr>
        <w:t xml:space="preserve">) to eligible projects for undertaking abatement activities in accordance with approved methods </w:t>
      </w:r>
    </w:p>
    <w:p w14:paraId="71537D19" w14:textId="5FFF9FBC" w:rsidR="002368DE" w:rsidRPr="00407DD0" w:rsidRDefault="002368DE" w:rsidP="005C1D9C">
      <w:pPr>
        <w:pStyle w:val="ERACbullets"/>
        <w:numPr>
          <w:ilvl w:val="0"/>
          <w:numId w:val="33"/>
        </w:numPr>
        <w:ind w:left="357" w:hanging="357"/>
        <w:rPr>
          <w:rFonts w:asciiTheme="minorHAnsi" w:hAnsiTheme="minorHAnsi" w:cstheme="minorHAnsi"/>
          <w:sz w:val="24"/>
          <w:szCs w:val="24"/>
        </w:rPr>
      </w:pPr>
      <w:r w:rsidRPr="00407DD0">
        <w:rPr>
          <w:rFonts w:asciiTheme="minorHAnsi" w:hAnsiTheme="minorHAnsi" w:cstheme="minorHAnsi"/>
          <w:sz w:val="24"/>
          <w:szCs w:val="24"/>
        </w:rPr>
        <w:t xml:space="preserve">the purchasing mechanism, whereby the </w:t>
      </w:r>
      <w:r w:rsidR="00FF589E" w:rsidRPr="00407DD0">
        <w:rPr>
          <w:rFonts w:asciiTheme="minorHAnsi" w:hAnsiTheme="minorHAnsi" w:cstheme="minorHAnsi"/>
          <w:sz w:val="24"/>
          <w:szCs w:val="24"/>
        </w:rPr>
        <w:t>BidCarbon Climate Trading Company</w:t>
      </w:r>
      <w:r w:rsidRPr="00407DD0">
        <w:rPr>
          <w:rFonts w:asciiTheme="minorHAnsi" w:hAnsiTheme="minorHAnsi" w:cstheme="minorHAnsi"/>
          <w:sz w:val="24"/>
          <w:szCs w:val="24"/>
        </w:rPr>
        <w:t xml:space="preserve">, through the </w:t>
      </w:r>
      <w:r w:rsidR="006E6B62" w:rsidRPr="00407DD0">
        <w:rPr>
          <w:rFonts w:asciiTheme="minorHAnsi" w:hAnsiTheme="minorHAnsi" w:cstheme="minorHAnsi"/>
          <w:sz w:val="24"/>
          <w:szCs w:val="24"/>
        </w:rPr>
        <w:t>Technical Governance Committee</w:t>
      </w:r>
      <w:r w:rsidRPr="00407DD0">
        <w:rPr>
          <w:rFonts w:asciiTheme="minorHAnsi" w:hAnsiTheme="minorHAnsi" w:cstheme="minorHAnsi"/>
          <w:sz w:val="24"/>
          <w:szCs w:val="24"/>
        </w:rPr>
        <w:t xml:space="preserve">, purchases </w:t>
      </w:r>
      <w:r w:rsidR="00FF589E" w:rsidRPr="00407DD0">
        <w:rPr>
          <w:rFonts w:asciiTheme="minorHAnsi" w:hAnsiTheme="minorHAnsi" w:cstheme="minorHAnsi"/>
          <w:sz w:val="24"/>
          <w:szCs w:val="24"/>
        </w:rPr>
        <w:t>BRUs</w:t>
      </w:r>
      <w:r w:rsidRPr="00407DD0">
        <w:rPr>
          <w:rFonts w:asciiTheme="minorHAnsi" w:hAnsiTheme="minorHAnsi" w:cstheme="minorHAnsi"/>
          <w:sz w:val="24"/>
          <w:szCs w:val="24"/>
        </w:rPr>
        <w:t xml:space="preserve"> from eligible offsets projects</w:t>
      </w:r>
    </w:p>
    <w:p w14:paraId="4E2C40F4" w14:textId="4F647241" w:rsidR="002368DE" w:rsidRPr="00407DD0" w:rsidRDefault="002368DE" w:rsidP="005C1D9C">
      <w:pPr>
        <w:spacing w:line="276" w:lineRule="auto"/>
        <w:rPr>
          <w:sz w:val="24"/>
          <w:lang w:val="en"/>
        </w:rPr>
      </w:pPr>
      <w:r w:rsidRPr="00407DD0">
        <w:rPr>
          <w:sz w:val="24"/>
        </w:rPr>
        <w:t xml:space="preserve">The crediting mechanism is intended to provide an incentive for public and private entities to undertake projects that reduce emissions or increase the sequestration of carbon in vegetation and soils. The purchasing mechanism provides the primary source of demand for the </w:t>
      </w:r>
      <w:r w:rsidR="00FF589E" w:rsidRPr="00407DD0">
        <w:rPr>
          <w:sz w:val="24"/>
        </w:rPr>
        <w:t>BRUs</w:t>
      </w:r>
      <w:r w:rsidRPr="00407DD0">
        <w:rPr>
          <w:sz w:val="24"/>
        </w:rPr>
        <w:t xml:space="preserve"> generated under the crediting mechanism.</w:t>
      </w:r>
    </w:p>
    <w:p w14:paraId="12C4BB31" w14:textId="2FDFCFDB" w:rsidR="002368DE" w:rsidRPr="005C1D9C" w:rsidRDefault="002368DE" w:rsidP="005C1D9C">
      <w:pPr>
        <w:pStyle w:val="20"/>
        <w:spacing w:line="276" w:lineRule="auto"/>
      </w:pPr>
      <w:bookmarkStart w:id="4" w:name="_Toc220426928"/>
      <w:r w:rsidRPr="005C1D9C">
        <w:rPr>
          <w:bCs w:val="0"/>
        </w:rPr>
        <w:t>3.</w:t>
      </w:r>
      <w:r w:rsidRPr="005C1D9C">
        <w:rPr>
          <w:bCs w:val="0"/>
        </w:rPr>
        <w:tab/>
        <w:t xml:space="preserve">What is the role of </w:t>
      </w:r>
      <w:r w:rsidR="008E2AC3">
        <w:rPr>
          <w:bCs w:val="0"/>
        </w:rPr>
        <w:t>the TAC</w:t>
      </w:r>
      <w:r w:rsidRPr="005C1D9C">
        <w:rPr>
          <w:bCs w:val="0"/>
        </w:rPr>
        <w:t>?</w:t>
      </w:r>
      <w:bookmarkEnd w:id="4"/>
      <w:r w:rsidRPr="005C1D9C">
        <w:rPr>
          <w:bCs w:val="0"/>
        </w:rPr>
        <w:t xml:space="preserve">  </w:t>
      </w:r>
    </w:p>
    <w:p w14:paraId="204E0585" w14:textId="0309BE9B" w:rsidR="002368DE" w:rsidRPr="00407DD0" w:rsidRDefault="008E2AC3" w:rsidP="005C1D9C">
      <w:pPr>
        <w:spacing w:line="276" w:lineRule="auto"/>
        <w:rPr>
          <w:sz w:val="24"/>
          <w:lang w:val="en"/>
        </w:rPr>
      </w:pPr>
      <w:r>
        <w:rPr>
          <w:sz w:val="24"/>
          <w:lang w:val="en"/>
        </w:rPr>
        <w:t>The TAC</w:t>
      </w:r>
      <w:r w:rsidR="00FF589E" w:rsidRPr="00407DD0">
        <w:rPr>
          <w:sz w:val="24"/>
          <w:lang w:val="en"/>
        </w:rPr>
        <w:t xml:space="preserve">’s responsibilities relate exclusively to the BidCarbon Standard Scheme’s crediting mechanism. It is responsible for overseeing the design and implementation of the methods that determine the eligibility of offsets projects and issuance of BRUs. It performs these functions in </w:t>
      </w:r>
      <w:r w:rsidR="00FF589E" w:rsidRPr="00407DD0">
        <w:rPr>
          <w:sz w:val="24"/>
          <w:lang w:val="en"/>
        </w:rPr>
        <w:lastRenderedPageBreak/>
        <w:t xml:space="preserve">collaboration with the Chairman of the Board of Trustees, Secretary and </w:t>
      </w:r>
      <w:r w:rsidR="000538F2">
        <w:rPr>
          <w:sz w:val="24"/>
          <w:lang w:val="en"/>
        </w:rPr>
        <w:t>Technical Governance Committee</w:t>
      </w:r>
      <w:r w:rsidR="002368DE" w:rsidRPr="00407DD0">
        <w:rPr>
          <w:sz w:val="24"/>
          <w:lang w:val="en"/>
        </w:rPr>
        <w:t>.</w:t>
      </w:r>
    </w:p>
    <w:p w14:paraId="6C367410" w14:textId="7925642D" w:rsidR="002368DE" w:rsidRPr="00407DD0" w:rsidRDefault="002368DE" w:rsidP="005C1D9C">
      <w:pPr>
        <w:spacing w:line="276" w:lineRule="auto"/>
        <w:rPr>
          <w:color w:val="auto"/>
          <w:sz w:val="24"/>
        </w:rPr>
      </w:pPr>
      <w:r w:rsidRPr="00407DD0">
        <w:rPr>
          <w:color w:val="auto"/>
          <w:sz w:val="24"/>
        </w:rPr>
        <w:t xml:space="preserve">The </w:t>
      </w:r>
      <w:r w:rsidR="00FF589E" w:rsidRPr="00407DD0">
        <w:rPr>
          <w:color w:val="auto"/>
          <w:sz w:val="24"/>
          <w:lang w:val="en"/>
        </w:rPr>
        <w:t>Chairman of the Board of Trustees</w:t>
      </w:r>
      <w:r w:rsidRPr="00407DD0">
        <w:rPr>
          <w:color w:val="auto"/>
          <w:sz w:val="24"/>
        </w:rPr>
        <w:t xml:space="preserve">, </w:t>
      </w:r>
      <w:r w:rsidR="00FF589E" w:rsidRPr="00407DD0">
        <w:rPr>
          <w:color w:val="auto"/>
          <w:sz w:val="24"/>
          <w:lang w:val="en"/>
        </w:rPr>
        <w:t>Secretary</w:t>
      </w:r>
      <w:r w:rsidRPr="00407DD0">
        <w:rPr>
          <w:color w:val="auto"/>
          <w:sz w:val="24"/>
        </w:rPr>
        <w:t xml:space="preserve">, </w:t>
      </w:r>
      <w:r w:rsidR="000538F2">
        <w:rPr>
          <w:color w:val="auto"/>
          <w:sz w:val="24"/>
        </w:rPr>
        <w:t>Technical Governance Committee</w:t>
      </w:r>
      <w:r w:rsidRPr="00407DD0">
        <w:rPr>
          <w:color w:val="auto"/>
          <w:sz w:val="24"/>
        </w:rPr>
        <w:t xml:space="preserve"> and Committee all play important roles in the development, amendment and revocation of methods. </w:t>
      </w:r>
    </w:p>
    <w:p w14:paraId="000F8539" w14:textId="207EB840" w:rsidR="002368DE" w:rsidRPr="00407DD0" w:rsidRDefault="002368DE" w:rsidP="005C1D9C">
      <w:pPr>
        <w:spacing w:line="276" w:lineRule="auto"/>
        <w:rPr>
          <w:sz w:val="24"/>
        </w:rPr>
      </w:pPr>
      <w:r w:rsidRPr="00407DD0">
        <w:rPr>
          <w:sz w:val="24"/>
        </w:rPr>
        <w:t xml:space="preserve">The </w:t>
      </w:r>
      <w:r w:rsidR="000A0668" w:rsidRPr="00407DD0">
        <w:rPr>
          <w:color w:val="auto"/>
          <w:sz w:val="24"/>
          <w:lang w:val="en"/>
        </w:rPr>
        <w:t>Chairman of the Board of Trustees</w:t>
      </w:r>
      <w:r w:rsidR="000A0668" w:rsidRPr="00407DD0">
        <w:rPr>
          <w:sz w:val="24"/>
        </w:rPr>
        <w:t xml:space="preserve"> </w:t>
      </w:r>
      <w:r w:rsidRPr="00407DD0">
        <w:rPr>
          <w:sz w:val="24"/>
        </w:rPr>
        <w:t xml:space="preserve">is responsible for making new methods, and varying and revoking existing methods. </w:t>
      </w:r>
    </w:p>
    <w:p w14:paraId="6E769579" w14:textId="4CE9B2BB" w:rsidR="002368DE" w:rsidRPr="00407DD0" w:rsidRDefault="006E6B62" w:rsidP="005C1D9C">
      <w:pPr>
        <w:spacing w:line="276" w:lineRule="auto"/>
        <w:rPr>
          <w:sz w:val="24"/>
        </w:rPr>
      </w:pPr>
      <w:r w:rsidRPr="00407DD0">
        <w:rPr>
          <w:sz w:val="24"/>
        </w:rPr>
        <w:t>The Secretary</w:t>
      </w:r>
      <w:r w:rsidR="002368DE" w:rsidRPr="00407DD0">
        <w:rPr>
          <w:sz w:val="24"/>
        </w:rPr>
        <w:t xml:space="preserve"> sits on </w:t>
      </w:r>
      <w:r w:rsidR="000A0668" w:rsidRPr="00407DD0">
        <w:rPr>
          <w:sz w:val="24"/>
        </w:rPr>
        <w:t>TAC</w:t>
      </w:r>
      <w:r w:rsidR="002368DE" w:rsidRPr="00407DD0">
        <w:rPr>
          <w:sz w:val="24"/>
        </w:rPr>
        <w:t xml:space="preserve"> as a non-voting member and advises the </w:t>
      </w:r>
      <w:r w:rsidR="000A0668" w:rsidRPr="00407DD0">
        <w:rPr>
          <w:color w:val="auto"/>
          <w:sz w:val="24"/>
          <w:lang w:val="en"/>
        </w:rPr>
        <w:t>Chairman of the Board of Trustees</w:t>
      </w:r>
      <w:r w:rsidR="000A0668" w:rsidRPr="00407DD0">
        <w:rPr>
          <w:sz w:val="24"/>
        </w:rPr>
        <w:t xml:space="preserve"> </w:t>
      </w:r>
      <w:r w:rsidR="002368DE" w:rsidRPr="00407DD0">
        <w:rPr>
          <w:sz w:val="24"/>
        </w:rPr>
        <w:t>on making and varying methods.</w:t>
      </w:r>
    </w:p>
    <w:p w14:paraId="565144E2" w14:textId="323ED92A" w:rsidR="002368DE" w:rsidRPr="00407DD0" w:rsidRDefault="000A0668" w:rsidP="005C1D9C">
      <w:pPr>
        <w:spacing w:line="276" w:lineRule="auto"/>
        <w:rPr>
          <w:sz w:val="24"/>
        </w:rPr>
      </w:pPr>
      <w:r w:rsidRPr="00407DD0">
        <w:rPr>
          <w:sz w:val="24"/>
        </w:rPr>
        <w:t xml:space="preserve">The </w:t>
      </w:r>
      <w:r w:rsidR="000538F2">
        <w:rPr>
          <w:rFonts w:hint="eastAsia"/>
          <w:sz w:val="24"/>
          <w:lang w:eastAsia="zh-CN"/>
        </w:rPr>
        <w:t>Technical Governance Committee</w:t>
      </w:r>
      <w:r w:rsidRPr="00407DD0">
        <w:rPr>
          <w:sz w:val="24"/>
        </w:rPr>
        <w:t xml:space="preserve"> is responsible for developing new methods and method variations for consideration and approval by TAC and the Chairman of the Board of Trustees</w:t>
      </w:r>
      <w:r w:rsidR="002368DE" w:rsidRPr="00407DD0">
        <w:rPr>
          <w:sz w:val="24"/>
        </w:rPr>
        <w:t>.</w:t>
      </w:r>
    </w:p>
    <w:p w14:paraId="06CC7862" w14:textId="24A736F1" w:rsidR="002368DE" w:rsidRPr="00407DD0" w:rsidRDefault="008E2AC3" w:rsidP="005C1D9C">
      <w:pPr>
        <w:spacing w:line="276" w:lineRule="auto"/>
        <w:rPr>
          <w:sz w:val="24"/>
        </w:rPr>
      </w:pPr>
      <w:r>
        <w:rPr>
          <w:sz w:val="24"/>
        </w:rPr>
        <w:t>The TAC</w:t>
      </w:r>
      <w:r w:rsidR="000A0668" w:rsidRPr="00407DD0">
        <w:rPr>
          <w:sz w:val="24"/>
        </w:rPr>
        <w:t xml:space="preserve"> is responsible for advising on new methods and variations, and proposals to revoke methods. Before making, varying or revoking a method, the Chairman of the Board of Trustees must obtain and consider advice from </w:t>
      </w:r>
      <w:r>
        <w:rPr>
          <w:sz w:val="24"/>
        </w:rPr>
        <w:t>the TAC</w:t>
      </w:r>
      <w:r w:rsidR="000A0668" w:rsidRPr="00407DD0">
        <w:rPr>
          <w:sz w:val="24"/>
        </w:rPr>
        <w:t xml:space="preserve">, including on whether the proposed method or variation meets the offsets integrity standards. If </w:t>
      </w:r>
      <w:r>
        <w:rPr>
          <w:sz w:val="24"/>
        </w:rPr>
        <w:t>the TAC</w:t>
      </w:r>
      <w:r w:rsidR="000A0668" w:rsidRPr="00407DD0">
        <w:rPr>
          <w:sz w:val="24"/>
        </w:rPr>
        <w:t xml:space="preserve"> advises a proposed method or variation does not meet the offsets integrity standards, the Chairman of the Board of Trustees cannot make it into a final methodology determination. </w:t>
      </w:r>
      <w:r>
        <w:rPr>
          <w:sz w:val="24"/>
        </w:rPr>
        <w:t>The TAC</w:t>
      </w:r>
      <w:r w:rsidR="000A0668" w:rsidRPr="00407DD0">
        <w:rPr>
          <w:sz w:val="24"/>
        </w:rPr>
        <w:t xml:space="preserve"> also provides advice to the Secretary on these matters</w:t>
      </w:r>
      <w:r w:rsidR="002368DE" w:rsidRPr="00407DD0">
        <w:rPr>
          <w:sz w:val="24"/>
        </w:rPr>
        <w:t>.</w:t>
      </w:r>
    </w:p>
    <w:p w14:paraId="6D32F8C1" w14:textId="43C916AF" w:rsidR="002368DE" w:rsidRPr="00407DD0" w:rsidRDefault="008E2AC3" w:rsidP="005C1D9C">
      <w:pPr>
        <w:spacing w:line="276" w:lineRule="auto"/>
        <w:rPr>
          <w:sz w:val="24"/>
        </w:rPr>
      </w:pPr>
      <w:r>
        <w:rPr>
          <w:sz w:val="24"/>
        </w:rPr>
        <w:t>The TAC</w:t>
      </w:r>
      <w:r w:rsidR="00407DD0" w:rsidRPr="00407DD0">
        <w:rPr>
          <w:sz w:val="24"/>
        </w:rPr>
        <w:t xml:space="preserve"> assesses all draft methods and variations proposed by the </w:t>
      </w:r>
      <w:r w:rsidR="000538F2">
        <w:rPr>
          <w:sz w:val="24"/>
        </w:rPr>
        <w:t>Technical Governance Committee</w:t>
      </w:r>
      <w:r w:rsidR="00407DD0" w:rsidRPr="00407DD0">
        <w:rPr>
          <w:sz w:val="24"/>
        </w:rPr>
        <w:t xml:space="preserve"> as part of the method development process. The </w:t>
      </w:r>
      <w:r w:rsidR="000538F2">
        <w:rPr>
          <w:sz w:val="24"/>
        </w:rPr>
        <w:t>Technical Governance Committee</w:t>
      </w:r>
      <w:r w:rsidR="00407DD0" w:rsidRPr="00407DD0">
        <w:rPr>
          <w:sz w:val="24"/>
        </w:rPr>
        <w:t xml:space="preserve"> also works with </w:t>
      </w:r>
      <w:r>
        <w:rPr>
          <w:sz w:val="24"/>
        </w:rPr>
        <w:t>the TAC</w:t>
      </w:r>
      <w:r w:rsidR="00407DD0" w:rsidRPr="00407DD0">
        <w:rPr>
          <w:sz w:val="24"/>
        </w:rPr>
        <w:t xml:space="preserve">, Secretary and other interested parties in adapting proposed methods and variations to ensure they are workable and can meet the offsets integrity standards. </w:t>
      </w:r>
      <w:r>
        <w:rPr>
          <w:sz w:val="24"/>
        </w:rPr>
        <w:t>The TAC</w:t>
      </w:r>
      <w:r w:rsidR="00407DD0" w:rsidRPr="00407DD0">
        <w:rPr>
          <w:sz w:val="24"/>
        </w:rPr>
        <w:t xml:space="preserve"> undertakes public consultation in relation to all new methods and variations</w:t>
      </w:r>
      <w:r w:rsidR="002368DE" w:rsidRPr="00407DD0">
        <w:rPr>
          <w:sz w:val="24"/>
        </w:rPr>
        <w:t>.</w:t>
      </w:r>
    </w:p>
    <w:p w14:paraId="577DE3F2" w14:textId="7655C788" w:rsidR="002368DE" w:rsidRPr="00407DD0" w:rsidRDefault="002368DE" w:rsidP="005C1D9C">
      <w:pPr>
        <w:spacing w:line="276" w:lineRule="auto"/>
        <w:rPr>
          <w:sz w:val="24"/>
        </w:rPr>
      </w:pPr>
      <w:r w:rsidRPr="00407DD0">
        <w:rPr>
          <w:sz w:val="24"/>
        </w:rPr>
        <w:t xml:space="preserve">In addition to assessing method proposals, </w:t>
      </w:r>
      <w:r w:rsidR="008E2AC3">
        <w:rPr>
          <w:sz w:val="24"/>
        </w:rPr>
        <w:t>the TAC</w:t>
      </w:r>
      <w:r w:rsidRPr="00407DD0">
        <w:rPr>
          <w:sz w:val="24"/>
        </w:rPr>
        <w:t xml:space="preserve"> is required to monitor the ongoing compliance of methods with the </w:t>
      </w:r>
      <w:proofErr w:type="gramStart"/>
      <w:r w:rsidRPr="00407DD0">
        <w:rPr>
          <w:sz w:val="24"/>
        </w:rPr>
        <w:t>offsets</w:t>
      </w:r>
      <w:proofErr w:type="gramEnd"/>
      <w:r w:rsidRPr="00407DD0">
        <w:rPr>
          <w:sz w:val="24"/>
        </w:rPr>
        <w:t xml:space="preserve"> integrity standards, undertake periodic reviews of methods on a risk basis, and conduct ‘crediting period extension reviews’ (reviews of whether methods should be varied so as to extend the periods over which relevant projects receive credits). </w:t>
      </w:r>
      <w:r w:rsidR="008E2AC3">
        <w:rPr>
          <w:sz w:val="24"/>
        </w:rPr>
        <w:t>The TAC</w:t>
      </w:r>
      <w:r w:rsidRPr="00407DD0">
        <w:rPr>
          <w:sz w:val="24"/>
        </w:rPr>
        <w:t xml:space="preserve"> undertakes public consultation in relation to reviews of methodology determinations. In conducting both periodic reviews and crediting period extension reviews, </w:t>
      </w:r>
      <w:r w:rsidR="008E2AC3">
        <w:rPr>
          <w:sz w:val="24"/>
        </w:rPr>
        <w:t>the TAC</w:t>
      </w:r>
      <w:r w:rsidRPr="00407DD0">
        <w:rPr>
          <w:sz w:val="24"/>
        </w:rPr>
        <w:t xml:space="preserve"> assesses methods against the </w:t>
      </w:r>
      <w:proofErr w:type="gramStart"/>
      <w:r w:rsidRPr="00407DD0">
        <w:rPr>
          <w:sz w:val="24"/>
        </w:rPr>
        <w:t>offsets</w:t>
      </w:r>
      <w:proofErr w:type="gramEnd"/>
      <w:r w:rsidRPr="00407DD0">
        <w:rPr>
          <w:sz w:val="24"/>
        </w:rPr>
        <w:t xml:space="preserve"> integrity standards.</w:t>
      </w:r>
    </w:p>
    <w:p w14:paraId="139EA10B" w14:textId="7E50DDC8" w:rsidR="002368DE" w:rsidRPr="00407DD0" w:rsidRDefault="00407DD0" w:rsidP="005C1D9C">
      <w:pPr>
        <w:spacing w:line="276" w:lineRule="auto"/>
        <w:rPr>
          <w:sz w:val="24"/>
        </w:rPr>
      </w:pPr>
      <w:r w:rsidRPr="00407DD0">
        <w:rPr>
          <w:sz w:val="24"/>
        </w:rPr>
        <w:t xml:space="preserve">In all cases, the advice provided by </w:t>
      </w:r>
      <w:r w:rsidR="008E2AC3">
        <w:rPr>
          <w:sz w:val="24"/>
        </w:rPr>
        <w:t>the TAC</w:t>
      </w:r>
      <w:r w:rsidRPr="00407DD0">
        <w:rPr>
          <w:sz w:val="24"/>
        </w:rPr>
        <w:t xml:space="preserve"> to the Chairman of the Board of Trustees or Secretary on a method (whether a proposed new method or variation, or outcomes of a review) is published. This provides the public with visibility of the evidence presented to </w:t>
      </w:r>
      <w:r w:rsidR="008E2AC3">
        <w:rPr>
          <w:sz w:val="24"/>
        </w:rPr>
        <w:t>the TAC</w:t>
      </w:r>
      <w:r w:rsidRPr="00407DD0">
        <w:rPr>
          <w:sz w:val="24"/>
        </w:rPr>
        <w:t xml:space="preserve"> and its considerations in reaching its decisions</w:t>
      </w:r>
      <w:r w:rsidR="002368DE" w:rsidRPr="00407DD0">
        <w:rPr>
          <w:sz w:val="24"/>
        </w:rPr>
        <w:t>.</w:t>
      </w:r>
    </w:p>
    <w:p w14:paraId="4794EC93" w14:textId="77777777" w:rsidR="002368DE" w:rsidRPr="005C1D9C" w:rsidRDefault="002368DE" w:rsidP="005C1D9C">
      <w:pPr>
        <w:pStyle w:val="20"/>
        <w:spacing w:line="276" w:lineRule="auto"/>
      </w:pPr>
      <w:bookmarkStart w:id="5" w:name="_Toc220426929"/>
      <w:r w:rsidRPr="005C1D9C">
        <w:rPr>
          <w:bCs w:val="0"/>
        </w:rPr>
        <w:lastRenderedPageBreak/>
        <w:t>4.</w:t>
      </w:r>
      <w:r w:rsidRPr="005C1D9C">
        <w:rPr>
          <w:bCs w:val="0"/>
        </w:rPr>
        <w:tab/>
        <w:t>What are the offsets integrity standards?</w:t>
      </w:r>
      <w:bookmarkEnd w:id="5"/>
    </w:p>
    <w:p w14:paraId="3744AB7B" w14:textId="0F133327" w:rsidR="002368DE" w:rsidRPr="00407DD0" w:rsidRDefault="008E2AC3" w:rsidP="005C1D9C">
      <w:pPr>
        <w:spacing w:line="276" w:lineRule="auto"/>
        <w:rPr>
          <w:sz w:val="24"/>
        </w:rPr>
      </w:pPr>
      <w:r w:rsidRPr="008E2AC3">
        <w:rPr>
          <w:sz w:val="24"/>
        </w:rPr>
        <w:t>The offsets integrity standards are the established criteria that all methods under the BidCarbon Standard Scheme must meet. They are based on international standards and ensure carbon credits issued under methods represent genuine and measurable emissions reductions</w:t>
      </w:r>
      <w:r w:rsidR="002368DE" w:rsidRPr="00407DD0">
        <w:rPr>
          <w:sz w:val="24"/>
        </w:rPr>
        <w:t>.</w:t>
      </w:r>
    </w:p>
    <w:p w14:paraId="60734C9F" w14:textId="4017F137" w:rsidR="002368DE" w:rsidRPr="00407DD0" w:rsidRDefault="00407DD0" w:rsidP="005C1D9C">
      <w:pPr>
        <w:spacing w:line="276" w:lineRule="auto"/>
        <w:rPr>
          <w:sz w:val="24"/>
        </w:rPr>
      </w:pPr>
      <w:r w:rsidRPr="00407DD0">
        <w:rPr>
          <w:sz w:val="24"/>
        </w:rPr>
        <w:t>There are six offsets integrity standards, which are contained in section 133 of the Carbon Farming Standard. A summary of the standards is provided below, with the full standards as specified in section 6</w:t>
      </w:r>
      <w:r w:rsidR="002368DE" w:rsidRPr="00407DD0">
        <w:rPr>
          <w:sz w:val="24"/>
        </w:rPr>
        <w:t>.</w:t>
      </w:r>
    </w:p>
    <w:p w14:paraId="424F5FC8" w14:textId="55097E67" w:rsidR="002368DE" w:rsidRPr="00407DD0" w:rsidRDefault="002368DE" w:rsidP="005C1D9C">
      <w:pPr>
        <w:pStyle w:val="ERACnumbering"/>
        <w:numPr>
          <w:ilvl w:val="0"/>
          <w:numId w:val="34"/>
        </w:numPr>
        <w:rPr>
          <w:rFonts w:asciiTheme="minorHAnsi" w:hAnsiTheme="minorHAnsi" w:cstheme="minorHAnsi"/>
          <w:sz w:val="24"/>
          <w:szCs w:val="24"/>
        </w:rPr>
      </w:pPr>
      <w:r w:rsidRPr="00407DD0">
        <w:rPr>
          <w:rFonts w:asciiTheme="minorHAnsi" w:hAnsiTheme="minorHAnsi" w:cstheme="minorHAnsi"/>
          <w:b/>
          <w:sz w:val="24"/>
          <w:szCs w:val="24"/>
        </w:rPr>
        <w:t>Additionality:</w:t>
      </w:r>
      <w:r w:rsidRPr="00407DD0">
        <w:rPr>
          <w:rFonts w:asciiTheme="minorHAnsi" w:hAnsiTheme="minorHAnsi" w:cstheme="minorHAnsi"/>
          <w:sz w:val="24"/>
          <w:szCs w:val="24"/>
        </w:rPr>
        <w:t xml:space="preserve"> A method should result in carbon abatement that is unlikely to occur in the ordinary course of events (disregarding the effect of </w:t>
      </w:r>
      <w:r w:rsidR="000F2F61" w:rsidRPr="00407DD0">
        <w:rPr>
          <w:rFonts w:asciiTheme="minorHAnsi" w:hAnsiTheme="minorHAnsi" w:cstheme="minorHAnsi"/>
          <w:sz w:val="24"/>
          <w:szCs w:val="24"/>
        </w:rPr>
        <w:t>the Carbon Farming Standard</w:t>
      </w:r>
      <w:r w:rsidRPr="00407DD0">
        <w:rPr>
          <w:rFonts w:asciiTheme="minorHAnsi" w:hAnsiTheme="minorHAnsi" w:cstheme="minorHAnsi"/>
          <w:sz w:val="24"/>
          <w:szCs w:val="24"/>
        </w:rPr>
        <w:t xml:space="preserve">). </w:t>
      </w:r>
    </w:p>
    <w:p w14:paraId="7A1A4455" w14:textId="77777777" w:rsidR="002368DE" w:rsidRPr="00407DD0" w:rsidRDefault="002368DE" w:rsidP="005C1D9C">
      <w:pPr>
        <w:pStyle w:val="ERACnumbering"/>
        <w:numPr>
          <w:ilvl w:val="0"/>
          <w:numId w:val="34"/>
        </w:numPr>
        <w:rPr>
          <w:rFonts w:asciiTheme="minorHAnsi" w:hAnsiTheme="minorHAnsi" w:cstheme="minorHAnsi"/>
          <w:sz w:val="24"/>
          <w:szCs w:val="24"/>
        </w:rPr>
      </w:pPr>
      <w:r w:rsidRPr="00407DD0">
        <w:rPr>
          <w:rFonts w:asciiTheme="minorHAnsi" w:hAnsiTheme="minorHAnsi" w:cstheme="minorHAnsi"/>
          <w:b/>
          <w:sz w:val="24"/>
          <w:szCs w:val="24"/>
        </w:rPr>
        <w:t>Measurable and verifiable:</w:t>
      </w:r>
      <w:r w:rsidRPr="00407DD0">
        <w:rPr>
          <w:rFonts w:asciiTheme="minorHAnsi" w:hAnsiTheme="minorHAnsi" w:cstheme="minorHAnsi"/>
          <w:sz w:val="24"/>
          <w:szCs w:val="24"/>
        </w:rPr>
        <w:t xml:space="preserve"> A method involving the removal, reduction or emissions of greenhouse gases should be measurable and capable of being verified.</w:t>
      </w:r>
    </w:p>
    <w:p w14:paraId="5CBC786C" w14:textId="77777777" w:rsidR="002368DE" w:rsidRPr="00407DD0" w:rsidRDefault="002368DE" w:rsidP="005C1D9C">
      <w:pPr>
        <w:pStyle w:val="ERACnumbering"/>
        <w:numPr>
          <w:ilvl w:val="0"/>
          <w:numId w:val="34"/>
        </w:numPr>
        <w:rPr>
          <w:rFonts w:asciiTheme="minorHAnsi" w:hAnsiTheme="minorHAnsi" w:cstheme="minorHAnsi"/>
          <w:sz w:val="24"/>
          <w:szCs w:val="24"/>
        </w:rPr>
      </w:pPr>
      <w:r w:rsidRPr="00407DD0">
        <w:rPr>
          <w:rFonts w:asciiTheme="minorHAnsi" w:hAnsiTheme="minorHAnsi" w:cstheme="minorHAnsi"/>
          <w:b/>
          <w:sz w:val="24"/>
          <w:szCs w:val="24"/>
        </w:rPr>
        <w:t>Eligible carbon abatement:</w:t>
      </w:r>
      <w:r w:rsidRPr="00407DD0">
        <w:rPr>
          <w:rFonts w:asciiTheme="minorHAnsi" w:hAnsiTheme="minorHAnsi" w:cstheme="minorHAnsi"/>
          <w:sz w:val="24"/>
          <w:szCs w:val="24"/>
        </w:rPr>
        <w:t xml:space="preserve"> A method should provide abatement that is able to be used to meet Australia’s international mitigation obligations.</w:t>
      </w:r>
    </w:p>
    <w:p w14:paraId="4564B7B4" w14:textId="77777777" w:rsidR="002368DE" w:rsidRPr="00407DD0" w:rsidRDefault="002368DE" w:rsidP="005C1D9C">
      <w:pPr>
        <w:pStyle w:val="ERACnumbering"/>
        <w:numPr>
          <w:ilvl w:val="0"/>
          <w:numId w:val="34"/>
        </w:numPr>
        <w:rPr>
          <w:rFonts w:asciiTheme="minorHAnsi" w:hAnsiTheme="minorHAnsi" w:cstheme="minorHAnsi"/>
          <w:sz w:val="24"/>
          <w:szCs w:val="24"/>
        </w:rPr>
      </w:pPr>
      <w:r w:rsidRPr="00407DD0">
        <w:rPr>
          <w:rFonts w:asciiTheme="minorHAnsi" w:hAnsiTheme="minorHAnsi" w:cstheme="minorHAnsi"/>
          <w:b/>
          <w:sz w:val="24"/>
          <w:szCs w:val="24"/>
        </w:rPr>
        <w:t>Evidence-based:</w:t>
      </w:r>
      <w:r w:rsidRPr="00407DD0">
        <w:rPr>
          <w:rFonts w:asciiTheme="minorHAnsi" w:hAnsiTheme="minorHAnsi" w:cstheme="minorHAnsi"/>
          <w:sz w:val="24"/>
          <w:szCs w:val="24"/>
        </w:rPr>
        <w:t xml:space="preserve"> A method should be supported by clear and convincing evidence.</w:t>
      </w:r>
    </w:p>
    <w:p w14:paraId="43E84085" w14:textId="77777777" w:rsidR="002368DE" w:rsidRPr="00407DD0" w:rsidRDefault="002368DE" w:rsidP="005C1D9C">
      <w:pPr>
        <w:pStyle w:val="ERACnumbering"/>
        <w:numPr>
          <w:ilvl w:val="0"/>
          <w:numId w:val="34"/>
        </w:numPr>
        <w:rPr>
          <w:rFonts w:asciiTheme="minorHAnsi" w:hAnsiTheme="minorHAnsi" w:cstheme="minorHAnsi"/>
          <w:sz w:val="24"/>
          <w:szCs w:val="24"/>
        </w:rPr>
      </w:pPr>
      <w:r w:rsidRPr="00407DD0">
        <w:rPr>
          <w:rFonts w:asciiTheme="minorHAnsi" w:hAnsiTheme="minorHAnsi" w:cstheme="minorHAnsi"/>
          <w:b/>
          <w:sz w:val="24"/>
          <w:szCs w:val="24"/>
        </w:rPr>
        <w:t>Project emissions:</w:t>
      </w:r>
      <w:r w:rsidRPr="00407DD0">
        <w:rPr>
          <w:rFonts w:asciiTheme="minorHAnsi" w:hAnsiTheme="minorHAnsi" w:cstheme="minorHAnsi"/>
          <w:sz w:val="24"/>
          <w:szCs w:val="24"/>
        </w:rPr>
        <w:t xml:space="preserve"> Material greenhouse gas emissions emitted as a direct result of the project should be deducted.</w:t>
      </w:r>
    </w:p>
    <w:p w14:paraId="3FFFF6C6" w14:textId="77777777" w:rsidR="002368DE" w:rsidRPr="00407DD0" w:rsidRDefault="002368DE" w:rsidP="005C1D9C">
      <w:pPr>
        <w:pStyle w:val="ERACnumbering"/>
        <w:numPr>
          <w:ilvl w:val="0"/>
          <w:numId w:val="34"/>
        </w:numPr>
        <w:rPr>
          <w:rFonts w:asciiTheme="minorHAnsi" w:hAnsiTheme="minorHAnsi" w:cstheme="minorHAnsi"/>
          <w:sz w:val="24"/>
          <w:szCs w:val="24"/>
        </w:rPr>
      </w:pPr>
      <w:r w:rsidRPr="00407DD0">
        <w:rPr>
          <w:rFonts w:asciiTheme="minorHAnsi" w:hAnsiTheme="minorHAnsi" w:cstheme="minorHAnsi"/>
          <w:b/>
          <w:sz w:val="24"/>
          <w:szCs w:val="24"/>
        </w:rPr>
        <w:t>Conservative:</w:t>
      </w:r>
      <w:r w:rsidRPr="00407DD0">
        <w:rPr>
          <w:rFonts w:asciiTheme="minorHAnsi" w:hAnsiTheme="minorHAnsi" w:cstheme="minorHAnsi"/>
          <w:sz w:val="24"/>
          <w:szCs w:val="24"/>
        </w:rPr>
        <w:t xml:space="preserve"> Where a method involves an estimate, projection or assumption, it should be conservative.</w:t>
      </w:r>
    </w:p>
    <w:p w14:paraId="59AAD635" w14:textId="77777777" w:rsidR="002368DE" w:rsidRPr="00407DD0" w:rsidRDefault="002368DE" w:rsidP="005C1D9C">
      <w:pPr>
        <w:pStyle w:val="a"/>
        <w:numPr>
          <w:ilvl w:val="0"/>
          <w:numId w:val="0"/>
        </w:numPr>
        <w:spacing w:before="120" w:after="120"/>
        <w:rPr>
          <w:rFonts w:asciiTheme="minorHAnsi" w:hAnsiTheme="minorHAnsi" w:cstheme="minorHAnsi"/>
          <w:sz w:val="24"/>
          <w:szCs w:val="24"/>
        </w:rPr>
      </w:pPr>
      <w:r w:rsidRPr="00407DD0">
        <w:rPr>
          <w:rFonts w:asciiTheme="minorHAnsi" w:hAnsiTheme="minorHAnsi" w:cstheme="minorHAnsi"/>
          <w:sz w:val="24"/>
          <w:szCs w:val="24"/>
        </w:rPr>
        <w:t>Methods and variations must satisfy all of the standards.</w:t>
      </w:r>
    </w:p>
    <w:p w14:paraId="09E885A6" w14:textId="1AFBEC3B" w:rsidR="002368DE" w:rsidRPr="005C1D9C" w:rsidRDefault="002368DE" w:rsidP="005C1D9C">
      <w:pPr>
        <w:pStyle w:val="20"/>
        <w:spacing w:line="276" w:lineRule="auto"/>
        <w:ind w:left="720" w:hanging="720"/>
      </w:pPr>
      <w:bookmarkStart w:id="6" w:name="_Toc220426930"/>
      <w:r w:rsidRPr="005C1D9C">
        <w:rPr>
          <w:bCs w:val="0"/>
        </w:rPr>
        <w:t>5.</w:t>
      </w:r>
      <w:r w:rsidRPr="005C1D9C">
        <w:rPr>
          <w:bCs w:val="0"/>
        </w:rPr>
        <w:tab/>
      </w:r>
      <w:r w:rsidR="008E2AC3">
        <w:rPr>
          <w:bCs w:val="0"/>
        </w:rPr>
        <w:t>The TAC</w:t>
      </w:r>
      <w:r w:rsidRPr="005C1D9C">
        <w:rPr>
          <w:bCs w:val="0"/>
        </w:rPr>
        <w:t>’s approach to interpreting and applying the offsets integrity standards</w:t>
      </w:r>
      <w:bookmarkEnd w:id="6"/>
    </w:p>
    <w:p w14:paraId="385BF557" w14:textId="19785BC1" w:rsidR="002368DE" w:rsidRPr="00912734" w:rsidRDefault="002368DE" w:rsidP="005C1D9C">
      <w:pPr>
        <w:spacing w:line="276" w:lineRule="auto"/>
        <w:rPr>
          <w:sz w:val="24"/>
          <w:shd w:val="clear" w:color="auto" w:fill="FFFFFF"/>
        </w:rPr>
      </w:pPr>
      <w:r w:rsidRPr="00912734">
        <w:rPr>
          <w:sz w:val="24"/>
        </w:rPr>
        <w:t xml:space="preserve">In interpreting the offsets integrity standards, </w:t>
      </w:r>
      <w:r w:rsidR="008E2AC3">
        <w:rPr>
          <w:sz w:val="24"/>
        </w:rPr>
        <w:t>the TAC</w:t>
      </w:r>
      <w:r w:rsidRPr="00912734">
        <w:rPr>
          <w:sz w:val="24"/>
        </w:rPr>
        <w:t xml:space="preserve"> is required to adopt </w:t>
      </w:r>
      <w:r w:rsidRPr="00912734">
        <w:rPr>
          <w:sz w:val="24"/>
          <w:shd w:val="clear" w:color="auto" w:fill="FFFFFF"/>
        </w:rPr>
        <w:t xml:space="preserve">the interpretation that would best achieve the objects of </w:t>
      </w:r>
      <w:r w:rsidR="000F2F61" w:rsidRPr="00912734">
        <w:rPr>
          <w:sz w:val="24"/>
          <w:shd w:val="clear" w:color="auto" w:fill="FFFFFF"/>
        </w:rPr>
        <w:t>the Carbon Farming Standard</w:t>
      </w:r>
      <w:r w:rsidRPr="00912734">
        <w:rPr>
          <w:sz w:val="24"/>
          <w:shd w:val="clear" w:color="auto" w:fill="FFFFFF"/>
        </w:rPr>
        <w:t xml:space="preserve">. The objectives of </w:t>
      </w:r>
      <w:r w:rsidR="000F2F61" w:rsidRPr="00912734">
        <w:rPr>
          <w:sz w:val="24"/>
          <w:shd w:val="clear" w:color="auto" w:fill="FFFFFF"/>
        </w:rPr>
        <w:t>the Carbon Farming Standard</w:t>
      </w:r>
      <w:r w:rsidRPr="00912734">
        <w:rPr>
          <w:sz w:val="24"/>
          <w:shd w:val="clear" w:color="auto" w:fill="FFFFFF"/>
        </w:rPr>
        <w:t xml:space="preserve"> are:</w:t>
      </w:r>
    </w:p>
    <w:p w14:paraId="3ADFE1BF" w14:textId="4A096790" w:rsidR="002368DE" w:rsidRPr="00912734" w:rsidRDefault="00EA223C" w:rsidP="005C1D9C">
      <w:pPr>
        <w:pStyle w:val="ERACbullets"/>
        <w:numPr>
          <w:ilvl w:val="0"/>
          <w:numId w:val="33"/>
        </w:numPr>
        <w:ind w:left="357" w:hanging="357"/>
        <w:rPr>
          <w:rFonts w:asciiTheme="minorHAnsi" w:hAnsiTheme="minorHAnsi" w:cstheme="minorHAnsi"/>
          <w:sz w:val="24"/>
          <w:szCs w:val="24"/>
          <w:shd w:val="clear" w:color="auto" w:fill="FFFFFF"/>
        </w:rPr>
      </w:pPr>
      <w:r w:rsidRPr="00912734">
        <w:rPr>
          <w:rFonts w:asciiTheme="minorHAnsi" w:hAnsiTheme="minorHAnsi" w:cstheme="minorHAnsi"/>
          <w:sz w:val="24"/>
          <w:szCs w:val="24"/>
          <w:shd w:val="clear" w:color="auto" w:fill="FFFFFF"/>
        </w:rPr>
        <w:t>to remove greenhouse gases from the atmosphere and avoid emissions of greenhouse gases, in accordance with international mitigation obligations;</w:t>
      </w:r>
    </w:p>
    <w:p w14:paraId="39E43FBE" w14:textId="77777777" w:rsidR="002368DE" w:rsidRPr="00912734" w:rsidRDefault="002368DE" w:rsidP="005C1D9C">
      <w:pPr>
        <w:pStyle w:val="ERACbullets"/>
        <w:numPr>
          <w:ilvl w:val="0"/>
          <w:numId w:val="33"/>
        </w:numPr>
        <w:ind w:left="357" w:hanging="357"/>
        <w:rPr>
          <w:rFonts w:asciiTheme="minorHAnsi" w:hAnsiTheme="minorHAnsi" w:cstheme="minorHAnsi"/>
          <w:sz w:val="24"/>
          <w:szCs w:val="24"/>
        </w:rPr>
      </w:pPr>
      <w:r w:rsidRPr="00912734">
        <w:rPr>
          <w:rFonts w:asciiTheme="minorHAnsi" w:hAnsiTheme="minorHAnsi" w:cstheme="minorHAnsi"/>
          <w:sz w:val="24"/>
          <w:szCs w:val="24"/>
          <w:shd w:val="clear" w:color="auto" w:fill="FFFFFF"/>
        </w:rPr>
        <w:t xml:space="preserve">to create incentives for people to undertake </w:t>
      </w:r>
      <w:r w:rsidRPr="00912734">
        <w:rPr>
          <w:rFonts w:asciiTheme="minorHAnsi" w:hAnsiTheme="minorHAnsi" w:cstheme="minorHAnsi"/>
          <w:sz w:val="24"/>
          <w:szCs w:val="24"/>
        </w:rPr>
        <w:t>offsets projects;</w:t>
      </w:r>
    </w:p>
    <w:p w14:paraId="12407A88" w14:textId="301DEA4A" w:rsidR="002368DE" w:rsidRPr="00912734" w:rsidRDefault="002368DE" w:rsidP="005C1D9C">
      <w:pPr>
        <w:pStyle w:val="ERACbullets"/>
        <w:numPr>
          <w:ilvl w:val="0"/>
          <w:numId w:val="33"/>
        </w:numPr>
        <w:ind w:left="357" w:hanging="357"/>
        <w:rPr>
          <w:rFonts w:asciiTheme="minorHAnsi" w:hAnsiTheme="minorHAnsi" w:cstheme="minorHAnsi"/>
          <w:sz w:val="24"/>
          <w:szCs w:val="24"/>
        </w:rPr>
      </w:pPr>
      <w:r w:rsidRPr="00912734">
        <w:rPr>
          <w:rFonts w:asciiTheme="minorHAnsi" w:hAnsiTheme="minorHAnsi" w:cstheme="minorHAnsi"/>
          <w:sz w:val="24"/>
          <w:szCs w:val="24"/>
          <w:shd w:val="clear" w:color="auto" w:fill="FFFFFF"/>
        </w:rPr>
        <w:t xml:space="preserve">to authorise the purchase by the </w:t>
      </w:r>
      <w:r w:rsidR="00EA223C" w:rsidRPr="00912734">
        <w:rPr>
          <w:rFonts w:asciiTheme="minorHAnsi" w:hAnsiTheme="minorHAnsi" w:cstheme="minorHAnsi"/>
          <w:sz w:val="24"/>
          <w:szCs w:val="24"/>
          <w:shd w:val="clear" w:color="auto" w:fill="FFFFFF"/>
        </w:rPr>
        <w:t>BidCarbon Climate Trading Company</w:t>
      </w:r>
      <w:r w:rsidR="00EA223C" w:rsidRPr="00912734">
        <w:rPr>
          <w:rFonts w:asciiTheme="minorHAnsi" w:eastAsiaTheme="minorEastAsia" w:hAnsiTheme="minorHAnsi" w:cstheme="minorHAnsi" w:hint="eastAsia"/>
          <w:sz w:val="24"/>
          <w:szCs w:val="24"/>
          <w:shd w:val="clear" w:color="auto" w:fill="FFFFFF"/>
          <w:lang w:eastAsia="zh-CN"/>
        </w:rPr>
        <w:t xml:space="preserve"> </w:t>
      </w:r>
      <w:r w:rsidRPr="00912734">
        <w:rPr>
          <w:rFonts w:asciiTheme="minorHAnsi" w:hAnsiTheme="minorHAnsi" w:cstheme="minorHAnsi"/>
          <w:sz w:val="24"/>
          <w:szCs w:val="24"/>
          <w:shd w:val="clear" w:color="auto" w:fill="FFFFFF"/>
        </w:rPr>
        <w:t xml:space="preserve">of units that represent </w:t>
      </w:r>
      <w:r w:rsidRPr="00912734">
        <w:rPr>
          <w:rFonts w:asciiTheme="minorHAnsi" w:hAnsiTheme="minorHAnsi" w:cstheme="minorHAnsi"/>
          <w:sz w:val="24"/>
          <w:szCs w:val="24"/>
        </w:rPr>
        <w:t>carbon</w:t>
      </w:r>
      <w:r w:rsidRPr="00912734">
        <w:rPr>
          <w:rFonts w:asciiTheme="minorHAnsi" w:hAnsiTheme="minorHAnsi" w:cstheme="minorHAnsi"/>
          <w:sz w:val="24"/>
          <w:szCs w:val="24"/>
          <w:shd w:val="clear" w:color="auto" w:fill="FFFFFF"/>
        </w:rPr>
        <w:t xml:space="preserve"> </w:t>
      </w:r>
      <w:r w:rsidRPr="00912734">
        <w:rPr>
          <w:rFonts w:asciiTheme="minorHAnsi" w:hAnsiTheme="minorHAnsi" w:cstheme="minorHAnsi"/>
          <w:sz w:val="24"/>
          <w:szCs w:val="24"/>
        </w:rPr>
        <w:t>abatement.</w:t>
      </w:r>
    </w:p>
    <w:p w14:paraId="4EA9647C" w14:textId="382F4E02" w:rsidR="002368DE" w:rsidRPr="00912734" w:rsidRDefault="002368DE" w:rsidP="005C1D9C">
      <w:pPr>
        <w:spacing w:line="276" w:lineRule="auto"/>
        <w:rPr>
          <w:sz w:val="24"/>
          <w:lang w:val="en-US"/>
        </w:rPr>
      </w:pPr>
      <w:r w:rsidRPr="00912734">
        <w:rPr>
          <w:sz w:val="24"/>
        </w:rPr>
        <w:t xml:space="preserve">The method assessment processes in which the offsets integrity standards are applied are intended to ensure that, to the extent practicable, credits are only issued in relation to genuine abatement. In seeking to give effect to this aim, </w:t>
      </w:r>
      <w:r w:rsidR="008E2AC3">
        <w:rPr>
          <w:sz w:val="24"/>
        </w:rPr>
        <w:t>the TAC</w:t>
      </w:r>
      <w:r w:rsidRPr="00912734">
        <w:rPr>
          <w:sz w:val="24"/>
        </w:rPr>
        <w:t xml:space="preserve"> is mindful that the objects of </w:t>
      </w:r>
      <w:r w:rsidR="000F2F61" w:rsidRPr="00912734">
        <w:rPr>
          <w:sz w:val="24"/>
        </w:rPr>
        <w:t xml:space="preserve">the Carbon Farming </w:t>
      </w:r>
      <w:r w:rsidR="000F2F61" w:rsidRPr="00912734">
        <w:rPr>
          <w:sz w:val="24"/>
        </w:rPr>
        <w:lastRenderedPageBreak/>
        <w:t>Standard</w:t>
      </w:r>
      <w:r w:rsidRPr="00912734">
        <w:rPr>
          <w:sz w:val="24"/>
        </w:rPr>
        <w:t xml:space="preserve"> include the desire to create incentives for people to undertake offsets projects and help </w:t>
      </w:r>
      <w:r w:rsidR="00EA223C" w:rsidRPr="00912734">
        <w:rPr>
          <w:sz w:val="24"/>
          <w:lang w:val="en-US"/>
        </w:rPr>
        <w:t>participants</w:t>
      </w:r>
      <w:r w:rsidR="00EA223C" w:rsidRPr="00912734">
        <w:rPr>
          <w:rFonts w:hint="eastAsia"/>
          <w:sz w:val="24"/>
          <w:lang w:val="en-US" w:eastAsia="zh-CN"/>
        </w:rPr>
        <w:t xml:space="preserve"> </w:t>
      </w:r>
      <w:r w:rsidRPr="00912734">
        <w:rPr>
          <w:sz w:val="24"/>
        </w:rPr>
        <w:t xml:space="preserve">meet its emissions reduction targets. A strict interpretation of the standards that seeks to ensure all credits represent genuine abatement is likely to limit the incentive for people to undertake offset projects and exclude the cheapest sources of abatemen. Due to this, in interpreting the offsets integrity standards, </w:t>
      </w:r>
      <w:r w:rsidR="008E2AC3">
        <w:rPr>
          <w:sz w:val="24"/>
        </w:rPr>
        <w:t>the TAC</w:t>
      </w:r>
      <w:r w:rsidRPr="00912734">
        <w:rPr>
          <w:sz w:val="24"/>
        </w:rPr>
        <w:t>’s general approach is to consider whether there is sufficient incentive to prompt participation and the uptake of relevant abatement activities that would not otherwise occur.</w:t>
      </w:r>
    </w:p>
    <w:p w14:paraId="5380C1E9" w14:textId="1B539A5D" w:rsidR="002368DE" w:rsidRPr="00912734" w:rsidRDefault="002368DE" w:rsidP="005C1D9C">
      <w:pPr>
        <w:spacing w:line="276" w:lineRule="auto"/>
        <w:rPr>
          <w:sz w:val="24"/>
        </w:rPr>
      </w:pPr>
      <w:r w:rsidRPr="00912734">
        <w:rPr>
          <w:sz w:val="24"/>
        </w:rPr>
        <w:t xml:space="preserve">The offsets integrity standards are interrelated, with the assessment of whether a method satisfies a specific standard often being affected by other standards. For example, in assessing whether a method satisfies the measurable and verifiable standard, </w:t>
      </w:r>
      <w:r w:rsidR="008E2AC3">
        <w:rPr>
          <w:sz w:val="24"/>
        </w:rPr>
        <w:t>the TAC</w:t>
      </w:r>
      <w:r w:rsidRPr="00912734">
        <w:rPr>
          <w:sz w:val="24"/>
        </w:rPr>
        <w:t xml:space="preserve"> must be satisfied the mechanisms contained in the method are supported by clear and convincing evidence.</w:t>
      </w:r>
    </w:p>
    <w:p w14:paraId="0D9BF1D2" w14:textId="7CAD8D1A" w:rsidR="002368DE" w:rsidRPr="00912734" w:rsidRDefault="008E2AC3" w:rsidP="005C1D9C">
      <w:pPr>
        <w:spacing w:line="276" w:lineRule="auto"/>
        <w:rPr>
          <w:sz w:val="24"/>
          <w:lang w:val="en-US"/>
        </w:rPr>
      </w:pPr>
      <w:r>
        <w:rPr>
          <w:sz w:val="24"/>
        </w:rPr>
        <w:t>The TAC</w:t>
      </w:r>
      <w:r w:rsidR="002368DE" w:rsidRPr="00912734">
        <w:rPr>
          <w:sz w:val="24"/>
        </w:rPr>
        <w:t xml:space="preserve"> seeks consistency in the treatment of integrity risks between methods. Inconsistency in interpretation of the integrity standards between methods can potentially distort the incentives provided by the scheme, </w:t>
      </w:r>
      <w:r w:rsidR="006E42E6" w:rsidRPr="00912734">
        <w:rPr>
          <w:sz w:val="24"/>
        </w:rPr>
        <w:t>increasing the economic cost of achieving participants’ emissions reduction targets.</w:t>
      </w:r>
    </w:p>
    <w:p w14:paraId="3298C787" w14:textId="4B1448B8" w:rsidR="002368DE" w:rsidRPr="00912734" w:rsidRDefault="00912734" w:rsidP="005C1D9C">
      <w:pPr>
        <w:spacing w:line="276" w:lineRule="auto"/>
        <w:rPr>
          <w:sz w:val="24"/>
        </w:rPr>
      </w:pPr>
      <w:r w:rsidRPr="00912734">
        <w:rPr>
          <w:sz w:val="24"/>
        </w:rPr>
        <w:t xml:space="preserve">While </w:t>
      </w:r>
      <w:r w:rsidR="008E2AC3">
        <w:rPr>
          <w:sz w:val="24"/>
        </w:rPr>
        <w:t>the TAC</w:t>
      </w:r>
      <w:r w:rsidRPr="00912734">
        <w:rPr>
          <w:sz w:val="24"/>
        </w:rPr>
        <w:t xml:space="preserve"> supports a consistent approach for addressing offsets integrity standards between methods, it recognises that, in many instances, consistency has no bearing on whether a method or variation satisfies the offsets integrity standards. A method can use an alternative approach to address an integrity standard to that used in another method, with both methods still satisfying the offsets integrity standards. Where issues of inconsistency are identified, </w:t>
      </w:r>
      <w:r w:rsidR="008E2AC3">
        <w:rPr>
          <w:sz w:val="24"/>
        </w:rPr>
        <w:t>the TAC</w:t>
      </w:r>
      <w:r w:rsidRPr="00912734">
        <w:rPr>
          <w:sz w:val="24"/>
        </w:rPr>
        <w:t xml:space="preserve"> can discuss the benefits and downfalls of each approach in each method with the </w:t>
      </w:r>
      <w:r w:rsidR="000538F2">
        <w:rPr>
          <w:sz w:val="24"/>
        </w:rPr>
        <w:t>Technical Governance Committee</w:t>
      </w:r>
      <w:r w:rsidRPr="00912734">
        <w:rPr>
          <w:sz w:val="24"/>
        </w:rPr>
        <w:t xml:space="preserve">, which may result in </w:t>
      </w:r>
      <w:r w:rsidR="008E2AC3">
        <w:rPr>
          <w:sz w:val="24"/>
        </w:rPr>
        <w:t>the TAC</w:t>
      </w:r>
      <w:r w:rsidRPr="00912734">
        <w:rPr>
          <w:sz w:val="24"/>
        </w:rPr>
        <w:t xml:space="preserve"> recommending modifications to the method proposal or providing advice to the Chairman of the Board of Trustees on the issue in its final advice or review report</w:t>
      </w:r>
      <w:r w:rsidR="002368DE" w:rsidRPr="00912734">
        <w:rPr>
          <w:sz w:val="24"/>
        </w:rPr>
        <w:t>.</w:t>
      </w:r>
    </w:p>
    <w:p w14:paraId="2A2B4F66" w14:textId="36DCB355" w:rsidR="002368DE" w:rsidRPr="00912734" w:rsidRDefault="002368DE" w:rsidP="005C1D9C">
      <w:pPr>
        <w:spacing w:line="276" w:lineRule="auto"/>
        <w:rPr>
          <w:sz w:val="24"/>
        </w:rPr>
      </w:pPr>
      <w:r w:rsidRPr="00912734">
        <w:rPr>
          <w:sz w:val="24"/>
        </w:rPr>
        <w:t xml:space="preserve">Decisions by </w:t>
      </w:r>
      <w:r w:rsidR="008E2AC3">
        <w:rPr>
          <w:sz w:val="24"/>
        </w:rPr>
        <w:t>the TAC</w:t>
      </w:r>
      <w:r w:rsidRPr="00912734">
        <w:rPr>
          <w:sz w:val="24"/>
        </w:rPr>
        <w:t xml:space="preserve"> about whether methods comply with the </w:t>
      </w:r>
      <w:proofErr w:type="gramStart"/>
      <w:r w:rsidRPr="00912734">
        <w:rPr>
          <w:sz w:val="24"/>
        </w:rPr>
        <w:t>offsets</w:t>
      </w:r>
      <w:proofErr w:type="gramEnd"/>
      <w:r w:rsidRPr="00912734">
        <w:rPr>
          <w:sz w:val="24"/>
        </w:rPr>
        <w:t xml:space="preserve"> integrity standards are based on information available at a point in time. As markets, science, technology and business practices change, the consistency of a method with the standards may change over time. Due to this, </w:t>
      </w:r>
      <w:r w:rsidR="008E2AC3">
        <w:rPr>
          <w:sz w:val="24"/>
        </w:rPr>
        <w:t>the TAC</w:t>
      </w:r>
      <w:r w:rsidRPr="00912734">
        <w:rPr>
          <w:sz w:val="24"/>
        </w:rPr>
        <w:t xml:space="preserve"> periodically reviews methods on a risk basis to ensure their ongoing compliance with the standards.</w:t>
      </w:r>
    </w:p>
    <w:p w14:paraId="5A91CF39" w14:textId="2C51DF1C" w:rsidR="002368DE" w:rsidRPr="000538F2" w:rsidRDefault="002368DE" w:rsidP="005C1D9C">
      <w:pPr>
        <w:pStyle w:val="20"/>
        <w:spacing w:line="276" w:lineRule="auto"/>
        <w:rPr>
          <w:rFonts w:eastAsiaTheme="minorEastAsia"/>
          <w:lang w:eastAsia="zh-CN"/>
        </w:rPr>
      </w:pPr>
      <w:bookmarkStart w:id="7" w:name="_Toc220426931"/>
      <w:r w:rsidRPr="005C1D9C">
        <w:rPr>
          <w:bCs w:val="0"/>
        </w:rPr>
        <w:t>6.</w:t>
      </w:r>
      <w:r w:rsidRPr="005C1D9C">
        <w:rPr>
          <w:bCs w:val="0"/>
        </w:rPr>
        <w:tab/>
        <w:t>The Offsets Integrity Standards</w:t>
      </w:r>
      <w:bookmarkEnd w:id="7"/>
    </w:p>
    <w:p w14:paraId="26C7AF60" w14:textId="77777777" w:rsidR="002368DE" w:rsidRPr="005C1D9C" w:rsidRDefault="002368DE" w:rsidP="005C1D9C">
      <w:pPr>
        <w:pStyle w:val="30"/>
        <w:spacing w:line="276" w:lineRule="auto"/>
        <w:rPr>
          <w:bCs w:val="0"/>
        </w:rPr>
      </w:pPr>
      <w:bookmarkStart w:id="8" w:name="_Toc220426932"/>
      <w:r w:rsidRPr="005C1D9C">
        <w:rPr>
          <w:bCs w:val="0"/>
        </w:rPr>
        <w:t>6.1 Additionality</w:t>
      </w:r>
      <w:bookmarkEnd w:id="8"/>
    </w:p>
    <w:p w14:paraId="559FBE68" w14:textId="4594DA78" w:rsidR="002368DE" w:rsidRPr="00912734" w:rsidRDefault="002368DE" w:rsidP="005C1D9C">
      <w:pPr>
        <w:pStyle w:val="a"/>
        <w:numPr>
          <w:ilvl w:val="0"/>
          <w:numId w:val="0"/>
        </w:numPr>
        <w:spacing w:after="240"/>
        <w:rPr>
          <w:rFonts w:asciiTheme="minorHAnsi" w:hAnsiTheme="minorHAnsi" w:cstheme="minorHAnsi"/>
          <w:sz w:val="24"/>
          <w:szCs w:val="24"/>
        </w:rPr>
      </w:pPr>
      <w:r w:rsidRPr="00912734">
        <w:rPr>
          <w:rFonts w:asciiTheme="minorHAnsi" w:hAnsiTheme="minorHAnsi" w:cstheme="minorHAnsi"/>
          <w:sz w:val="24"/>
          <w:szCs w:val="24"/>
        </w:rPr>
        <w:t xml:space="preserve">The additionality standard is contained in paragraph </w:t>
      </w:r>
      <w:proofErr w:type="gramStart"/>
      <w:r w:rsidR="00F00B9C">
        <w:rPr>
          <w:rFonts w:asciiTheme="minorHAnsi" w:eastAsiaTheme="minorEastAsia" w:hAnsiTheme="minorHAnsi" w:cstheme="minorHAnsi" w:hint="eastAsia"/>
          <w:sz w:val="24"/>
          <w:szCs w:val="24"/>
          <w:lang w:eastAsia="zh-CN"/>
        </w:rPr>
        <w:t>102.</w:t>
      </w:r>
      <w:r w:rsidRPr="00912734">
        <w:rPr>
          <w:rFonts w:asciiTheme="minorHAnsi" w:hAnsiTheme="minorHAnsi" w:cstheme="minorHAnsi"/>
          <w:sz w:val="24"/>
          <w:szCs w:val="24"/>
        </w:rPr>
        <w:t>(</w:t>
      </w:r>
      <w:proofErr w:type="gramEnd"/>
      <w:r w:rsidRPr="00912734">
        <w:rPr>
          <w:rFonts w:asciiTheme="minorHAnsi" w:hAnsiTheme="minorHAnsi" w:cstheme="minorHAnsi"/>
          <w:sz w:val="24"/>
          <w:szCs w:val="24"/>
        </w:rPr>
        <w:t>1)(a)</w:t>
      </w:r>
      <w:r w:rsidR="00912734" w:rsidRPr="00912734">
        <w:rPr>
          <w:rFonts w:asciiTheme="minorHAnsi" w:eastAsiaTheme="minorEastAsia" w:hAnsiTheme="minorHAnsi" w:cstheme="minorHAnsi"/>
          <w:sz w:val="24"/>
          <w:szCs w:val="24"/>
          <w:lang w:eastAsia="zh-CN"/>
        </w:rPr>
        <w:t xml:space="preserve"> </w:t>
      </w:r>
      <w:r w:rsidR="00912734" w:rsidRPr="00912734">
        <w:rPr>
          <w:rFonts w:asciiTheme="minorHAnsi" w:hAnsiTheme="minorHAnsi" w:cstheme="minorHAnsi"/>
          <w:sz w:val="24"/>
        </w:rPr>
        <w:t>of the Carbon Farming Standard</w:t>
      </w:r>
      <w:r w:rsidRPr="00912734">
        <w:rPr>
          <w:rFonts w:asciiTheme="minorHAnsi" w:hAnsiTheme="minorHAnsi" w:cstheme="minorHAnsi"/>
          <w:sz w:val="24"/>
          <w:szCs w:val="24"/>
        </w:rPr>
        <w:t xml:space="preserve">, which states: </w:t>
      </w:r>
    </w:p>
    <w:p w14:paraId="6C586F06" w14:textId="77777777" w:rsidR="002368DE" w:rsidRPr="00912734" w:rsidRDefault="002368DE" w:rsidP="005C1D9C">
      <w:pPr>
        <w:pStyle w:val="a"/>
        <w:numPr>
          <w:ilvl w:val="0"/>
          <w:numId w:val="0"/>
        </w:numPr>
        <w:spacing w:after="240"/>
        <w:ind w:left="720"/>
        <w:rPr>
          <w:rFonts w:asciiTheme="minorHAnsi" w:hAnsiTheme="minorHAnsi" w:cstheme="minorHAnsi"/>
          <w:i/>
          <w:sz w:val="24"/>
          <w:szCs w:val="24"/>
          <w:lang w:val="en-US"/>
        </w:rPr>
      </w:pPr>
      <w:r w:rsidRPr="00912734">
        <w:rPr>
          <w:rFonts w:asciiTheme="minorHAnsi" w:hAnsiTheme="minorHAnsi" w:cstheme="minorHAnsi"/>
          <w:i/>
          <w:sz w:val="24"/>
          <w:szCs w:val="24"/>
        </w:rPr>
        <w:t>The application of:</w:t>
      </w:r>
    </w:p>
    <w:p w14:paraId="17A831D1" w14:textId="77777777" w:rsidR="002368DE" w:rsidRPr="00912734" w:rsidRDefault="002368DE" w:rsidP="005C1D9C">
      <w:pPr>
        <w:pStyle w:val="a"/>
        <w:numPr>
          <w:ilvl w:val="0"/>
          <w:numId w:val="0"/>
        </w:numPr>
        <w:spacing w:after="240"/>
        <w:ind w:left="720" w:firstLine="720"/>
        <w:rPr>
          <w:rFonts w:asciiTheme="minorHAnsi" w:hAnsiTheme="minorHAnsi" w:cstheme="minorHAnsi"/>
          <w:i/>
          <w:sz w:val="24"/>
          <w:szCs w:val="24"/>
          <w:lang w:val="en-US"/>
        </w:rPr>
      </w:pPr>
      <w:r w:rsidRPr="00912734">
        <w:rPr>
          <w:rFonts w:asciiTheme="minorHAnsi" w:hAnsiTheme="minorHAnsi" w:cstheme="minorHAnsi"/>
          <w:i/>
          <w:sz w:val="24"/>
          <w:szCs w:val="24"/>
        </w:rPr>
        <w:t>(i)  the requirements set out in; and</w:t>
      </w:r>
    </w:p>
    <w:p w14:paraId="2A8BE37D" w14:textId="77777777" w:rsidR="002368DE" w:rsidRPr="00912734" w:rsidRDefault="002368DE" w:rsidP="005C1D9C">
      <w:pPr>
        <w:pStyle w:val="a"/>
        <w:numPr>
          <w:ilvl w:val="0"/>
          <w:numId w:val="0"/>
        </w:numPr>
        <w:spacing w:after="240"/>
        <w:ind w:left="1089" w:firstLine="351"/>
        <w:rPr>
          <w:rFonts w:asciiTheme="minorHAnsi" w:hAnsiTheme="minorHAnsi" w:cstheme="minorHAnsi"/>
          <w:i/>
          <w:sz w:val="24"/>
          <w:szCs w:val="24"/>
          <w:lang w:val="en-US"/>
        </w:rPr>
      </w:pPr>
      <w:r w:rsidRPr="00912734">
        <w:rPr>
          <w:rFonts w:asciiTheme="minorHAnsi" w:hAnsiTheme="minorHAnsi" w:cstheme="minorHAnsi"/>
          <w:i/>
          <w:sz w:val="24"/>
          <w:szCs w:val="24"/>
        </w:rPr>
        <w:lastRenderedPageBreak/>
        <w:t>(ii)  the method specified in, or ascertained in accordance with;</w:t>
      </w:r>
    </w:p>
    <w:p w14:paraId="53A2ED9A" w14:textId="033E57D8" w:rsidR="002368DE" w:rsidRPr="00912734" w:rsidRDefault="002368DE" w:rsidP="005C1D9C">
      <w:pPr>
        <w:autoSpaceDE w:val="0"/>
        <w:autoSpaceDN w:val="0"/>
        <w:adjustRightInd w:val="0"/>
        <w:spacing w:after="240" w:line="276" w:lineRule="auto"/>
        <w:ind w:left="720"/>
        <w:rPr>
          <w:i/>
          <w:sz w:val="24"/>
        </w:rPr>
      </w:pPr>
      <w:r w:rsidRPr="00912734">
        <w:rPr>
          <w:i/>
          <w:sz w:val="24"/>
        </w:rPr>
        <w:t xml:space="preserve">a methodology determination, in relation to projects of the kind specified in the determination, should result in carbon abatement that is unlikely to occur in the ordinary course of events (disregarding the effect of this </w:t>
      </w:r>
      <w:r w:rsidR="00912734" w:rsidRPr="00912734">
        <w:rPr>
          <w:i/>
          <w:sz w:val="24"/>
        </w:rPr>
        <w:t>Carbon Farming Standard</w:t>
      </w:r>
      <w:r w:rsidRPr="00912734">
        <w:rPr>
          <w:i/>
          <w:sz w:val="24"/>
        </w:rPr>
        <w:t>).</w:t>
      </w:r>
    </w:p>
    <w:p w14:paraId="2C8219D1" w14:textId="0B750154" w:rsidR="002368DE" w:rsidRPr="00912734" w:rsidRDefault="002368DE" w:rsidP="005C1D9C">
      <w:pPr>
        <w:autoSpaceDE w:val="0"/>
        <w:autoSpaceDN w:val="0"/>
        <w:adjustRightInd w:val="0"/>
        <w:spacing w:after="240" w:line="276" w:lineRule="auto"/>
        <w:rPr>
          <w:sz w:val="24"/>
        </w:rPr>
      </w:pPr>
      <w:r w:rsidRPr="00912734">
        <w:rPr>
          <w:sz w:val="24"/>
        </w:rPr>
        <w:t>‘Carbon abatement’ is defined for these purposes as:</w:t>
      </w:r>
    </w:p>
    <w:p w14:paraId="16253DD8" w14:textId="0748B5D9" w:rsidR="002368DE" w:rsidRPr="00912734" w:rsidRDefault="002368DE" w:rsidP="005C1D9C">
      <w:pPr>
        <w:pStyle w:val="a0"/>
        <w:numPr>
          <w:ilvl w:val="0"/>
          <w:numId w:val="35"/>
        </w:numPr>
        <w:autoSpaceDE w:val="0"/>
        <w:autoSpaceDN w:val="0"/>
        <w:adjustRightInd w:val="0"/>
        <w:spacing w:after="240"/>
        <w:rPr>
          <w:rFonts w:asciiTheme="minorHAnsi" w:hAnsiTheme="minorHAnsi" w:cstheme="minorHAnsi"/>
          <w:i/>
          <w:sz w:val="24"/>
          <w:szCs w:val="24"/>
        </w:rPr>
      </w:pPr>
      <w:r w:rsidRPr="00912734">
        <w:rPr>
          <w:rFonts w:asciiTheme="minorHAnsi" w:hAnsiTheme="minorHAnsi" w:cstheme="minorHAnsi"/>
          <w:i/>
          <w:sz w:val="24"/>
          <w:szCs w:val="24"/>
        </w:rPr>
        <w:t>The removal of one or more greenhouse gases from the atmosphere; or</w:t>
      </w:r>
    </w:p>
    <w:p w14:paraId="2DC255EC" w14:textId="1D7AB399" w:rsidR="002368DE" w:rsidRPr="00912734" w:rsidRDefault="002368DE" w:rsidP="005C1D9C">
      <w:pPr>
        <w:pStyle w:val="a0"/>
        <w:numPr>
          <w:ilvl w:val="0"/>
          <w:numId w:val="35"/>
        </w:numPr>
        <w:autoSpaceDE w:val="0"/>
        <w:autoSpaceDN w:val="0"/>
        <w:adjustRightInd w:val="0"/>
        <w:spacing w:after="240"/>
        <w:rPr>
          <w:rFonts w:asciiTheme="minorHAnsi" w:hAnsiTheme="minorHAnsi" w:cstheme="minorHAnsi"/>
          <w:i/>
          <w:sz w:val="24"/>
          <w:szCs w:val="24"/>
        </w:rPr>
      </w:pPr>
      <w:r w:rsidRPr="00912734">
        <w:rPr>
          <w:rFonts w:asciiTheme="minorHAnsi" w:hAnsiTheme="minorHAnsi" w:cstheme="minorHAnsi"/>
          <w:i/>
          <w:sz w:val="24"/>
          <w:szCs w:val="24"/>
        </w:rPr>
        <w:t>The avoidance of emissions of one or more greenhouse gases from the atmosphere.</w:t>
      </w:r>
    </w:p>
    <w:p w14:paraId="1366F908" w14:textId="4F66D62E" w:rsidR="002368DE" w:rsidRPr="00912734" w:rsidRDefault="008E2AC3" w:rsidP="005C1D9C">
      <w:pPr>
        <w:autoSpaceDE w:val="0"/>
        <w:autoSpaceDN w:val="0"/>
        <w:adjustRightInd w:val="0"/>
        <w:spacing w:after="240" w:line="276" w:lineRule="auto"/>
        <w:rPr>
          <w:sz w:val="24"/>
        </w:rPr>
      </w:pPr>
      <w:r>
        <w:rPr>
          <w:sz w:val="24"/>
        </w:rPr>
        <w:t>The TAC</w:t>
      </w:r>
      <w:r w:rsidR="002368DE" w:rsidRPr="00912734">
        <w:rPr>
          <w:sz w:val="24"/>
        </w:rPr>
        <w:t xml:space="preserve"> interprets this standard as requiring the substantial majority of the abatement likely to be credited under the method would not occur in the absence of the incentive provided by the scheme. </w:t>
      </w:r>
    </w:p>
    <w:p w14:paraId="706C6785" w14:textId="4E4F129C" w:rsidR="002368DE" w:rsidRPr="00912734" w:rsidRDefault="002368DE" w:rsidP="005C1D9C">
      <w:pPr>
        <w:autoSpaceDE w:val="0"/>
        <w:autoSpaceDN w:val="0"/>
        <w:adjustRightInd w:val="0"/>
        <w:spacing w:after="240" w:line="276" w:lineRule="auto"/>
        <w:rPr>
          <w:sz w:val="24"/>
        </w:rPr>
      </w:pPr>
      <w:r w:rsidRPr="00912734">
        <w:rPr>
          <w:sz w:val="24"/>
        </w:rPr>
        <w:t xml:space="preserve">In applying this standard, </w:t>
      </w:r>
      <w:r w:rsidR="008E2AC3">
        <w:rPr>
          <w:sz w:val="24"/>
        </w:rPr>
        <w:t>the TAC</w:t>
      </w:r>
      <w:r w:rsidRPr="00912734">
        <w:rPr>
          <w:sz w:val="24"/>
        </w:rPr>
        <w:t xml:space="preserve">’s general approach is to apply two tests: </w:t>
      </w:r>
    </w:p>
    <w:p w14:paraId="09CC3B54" w14:textId="54A01AF9" w:rsidR="002368DE" w:rsidRPr="00912734" w:rsidRDefault="002368DE" w:rsidP="005C1D9C">
      <w:pPr>
        <w:pStyle w:val="ERACbullets"/>
        <w:numPr>
          <w:ilvl w:val="0"/>
          <w:numId w:val="33"/>
        </w:numPr>
        <w:ind w:left="357" w:hanging="357"/>
        <w:rPr>
          <w:rFonts w:asciiTheme="minorHAnsi" w:hAnsiTheme="minorHAnsi" w:cstheme="minorHAnsi"/>
          <w:sz w:val="24"/>
          <w:szCs w:val="24"/>
        </w:rPr>
      </w:pPr>
      <w:r w:rsidRPr="00912734">
        <w:rPr>
          <w:rFonts w:asciiTheme="minorHAnsi" w:hAnsiTheme="minorHAnsi" w:cstheme="minorHAnsi"/>
          <w:sz w:val="24"/>
          <w:szCs w:val="24"/>
        </w:rPr>
        <w:t xml:space="preserve">An activity test, which looks at whether </w:t>
      </w:r>
      <w:r w:rsidR="000F2F61" w:rsidRPr="00912734">
        <w:rPr>
          <w:rFonts w:asciiTheme="minorHAnsi" w:hAnsiTheme="minorHAnsi" w:cstheme="minorHAnsi"/>
          <w:sz w:val="24"/>
          <w:szCs w:val="24"/>
        </w:rPr>
        <w:t xml:space="preserve">the </w:t>
      </w:r>
      <w:r w:rsidR="00912734" w:rsidRPr="00912734">
        <w:rPr>
          <w:rFonts w:asciiTheme="minorHAnsi" w:hAnsiTheme="minorHAnsi" w:cstheme="minorHAnsi"/>
          <w:sz w:val="24"/>
          <w:szCs w:val="24"/>
        </w:rPr>
        <w:t>activities</w:t>
      </w:r>
      <w:r w:rsidRPr="00912734">
        <w:rPr>
          <w:rFonts w:asciiTheme="minorHAnsi" w:hAnsiTheme="minorHAnsi" w:cstheme="minorHAnsi"/>
          <w:sz w:val="24"/>
          <w:szCs w:val="24"/>
        </w:rPr>
        <w:t xml:space="preserve"> covered by the method would occur in the absence of the incentive provided by the scheme; and </w:t>
      </w:r>
    </w:p>
    <w:p w14:paraId="7B0CA91A" w14:textId="11D06C15" w:rsidR="002368DE" w:rsidRPr="00912734" w:rsidRDefault="002368DE" w:rsidP="005C1D9C">
      <w:pPr>
        <w:pStyle w:val="ERACbullets"/>
        <w:numPr>
          <w:ilvl w:val="0"/>
          <w:numId w:val="33"/>
        </w:numPr>
        <w:ind w:left="357" w:hanging="357"/>
        <w:rPr>
          <w:rFonts w:asciiTheme="minorHAnsi" w:hAnsiTheme="minorHAnsi" w:cstheme="minorHAnsi"/>
          <w:sz w:val="24"/>
          <w:szCs w:val="24"/>
        </w:rPr>
      </w:pPr>
      <w:r w:rsidRPr="00912734">
        <w:rPr>
          <w:rFonts w:asciiTheme="minorHAnsi" w:hAnsiTheme="minorHAnsi" w:cstheme="minorHAnsi"/>
          <w:sz w:val="24"/>
          <w:szCs w:val="24"/>
        </w:rPr>
        <w:t xml:space="preserve">a baseline test, which looks at what the net emission outcomes would be if </w:t>
      </w:r>
      <w:r w:rsidR="000F2F61" w:rsidRPr="00912734">
        <w:rPr>
          <w:rFonts w:asciiTheme="minorHAnsi" w:hAnsiTheme="minorHAnsi" w:cstheme="minorHAnsi"/>
          <w:sz w:val="24"/>
          <w:szCs w:val="24"/>
        </w:rPr>
        <w:t xml:space="preserve">the </w:t>
      </w:r>
      <w:r w:rsidR="00912734" w:rsidRPr="00912734">
        <w:rPr>
          <w:rFonts w:asciiTheme="minorHAnsi" w:hAnsiTheme="minorHAnsi" w:cstheme="minorHAnsi"/>
          <w:sz w:val="24"/>
          <w:szCs w:val="24"/>
        </w:rPr>
        <w:t>activities</w:t>
      </w:r>
      <w:r w:rsidRPr="00912734">
        <w:rPr>
          <w:rFonts w:asciiTheme="minorHAnsi" w:hAnsiTheme="minorHAnsi" w:cstheme="minorHAnsi"/>
          <w:sz w:val="24"/>
          <w:szCs w:val="24"/>
        </w:rPr>
        <w:t xml:space="preserve"> were not undertaken. </w:t>
      </w:r>
    </w:p>
    <w:p w14:paraId="2FC0555D" w14:textId="44159F12" w:rsidR="002368DE" w:rsidRPr="00912734" w:rsidRDefault="002368DE" w:rsidP="005C1D9C">
      <w:pPr>
        <w:spacing w:line="276" w:lineRule="auto"/>
        <w:rPr>
          <w:sz w:val="24"/>
        </w:rPr>
      </w:pPr>
      <w:r w:rsidRPr="00912734">
        <w:rPr>
          <w:sz w:val="24"/>
        </w:rPr>
        <w:t xml:space="preserve">This two-stage approach promotes a structured evaluation of the additionality risks associated with the method and the </w:t>
      </w:r>
      <w:r w:rsidR="00912734" w:rsidRPr="00912734">
        <w:rPr>
          <w:sz w:val="24"/>
        </w:rPr>
        <w:t>mechanisms in the method, the Standard, and the accompanying rules that address those risks</w:t>
      </w:r>
      <w:r w:rsidRPr="00912734">
        <w:rPr>
          <w:sz w:val="24"/>
        </w:rPr>
        <w:t>.</w:t>
      </w:r>
    </w:p>
    <w:p w14:paraId="0097A1A3" w14:textId="5F57BDB5" w:rsidR="002368DE" w:rsidRPr="00912734" w:rsidRDefault="002368DE" w:rsidP="005C1D9C">
      <w:pPr>
        <w:spacing w:line="276" w:lineRule="auto"/>
        <w:rPr>
          <w:sz w:val="24"/>
        </w:rPr>
      </w:pPr>
      <w:r w:rsidRPr="00912734">
        <w:rPr>
          <w:sz w:val="24"/>
        </w:rPr>
        <w:t>Methods can use a number of mechanisms to reduce additionality risks, including eligibility requirements and baselines.</w:t>
      </w:r>
    </w:p>
    <w:p w14:paraId="54209D51" w14:textId="7B093D59" w:rsidR="002368DE" w:rsidRPr="00912734" w:rsidRDefault="002368DE" w:rsidP="005C1D9C">
      <w:pPr>
        <w:spacing w:line="276" w:lineRule="auto"/>
        <w:rPr>
          <w:sz w:val="24"/>
        </w:rPr>
      </w:pPr>
      <w:r w:rsidRPr="00912734">
        <w:rPr>
          <w:sz w:val="24"/>
        </w:rPr>
        <w:t xml:space="preserve">In addition to the mechanisms in the method, section 27 of </w:t>
      </w:r>
      <w:r w:rsidR="000F2F61" w:rsidRPr="00912734">
        <w:rPr>
          <w:sz w:val="24"/>
        </w:rPr>
        <w:t>the Carbon Farming Standard</w:t>
      </w:r>
      <w:r w:rsidRPr="00912734">
        <w:rPr>
          <w:sz w:val="24"/>
        </w:rPr>
        <w:t xml:space="preserve"> contains three project-level additionality requirements that must be satisfied for projects to be registered:</w:t>
      </w:r>
    </w:p>
    <w:p w14:paraId="024001A0" w14:textId="77777777" w:rsidR="002368DE" w:rsidRPr="00912734" w:rsidRDefault="002368DE" w:rsidP="005C1D9C">
      <w:pPr>
        <w:pStyle w:val="ERACbullets"/>
        <w:numPr>
          <w:ilvl w:val="0"/>
          <w:numId w:val="33"/>
        </w:numPr>
        <w:ind w:left="357" w:hanging="357"/>
        <w:rPr>
          <w:rFonts w:asciiTheme="minorHAnsi" w:hAnsiTheme="minorHAnsi" w:cstheme="minorHAnsi"/>
          <w:sz w:val="24"/>
          <w:szCs w:val="24"/>
        </w:rPr>
      </w:pPr>
      <w:r w:rsidRPr="00912734">
        <w:rPr>
          <w:rFonts w:asciiTheme="minorHAnsi" w:hAnsiTheme="minorHAnsi" w:cstheme="minorHAnsi"/>
          <w:sz w:val="24"/>
          <w:szCs w:val="24"/>
        </w:rPr>
        <w:t>the newness requirement – the project must not have begun to be implemented;</w:t>
      </w:r>
    </w:p>
    <w:p w14:paraId="6C8B03DB" w14:textId="23551A9F" w:rsidR="002368DE" w:rsidRPr="00912734" w:rsidRDefault="00AB2887" w:rsidP="005C1D9C">
      <w:pPr>
        <w:pStyle w:val="ERACbullets"/>
        <w:numPr>
          <w:ilvl w:val="0"/>
          <w:numId w:val="33"/>
        </w:numPr>
        <w:ind w:left="357" w:hanging="357"/>
        <w:rPr>
          <w:rFonts w:asciiTheme="minorHAnsi" w:hAnsiTheme="minorHAnsi" w:cstheme="minorHAnsi"/>
          <w:sz w:val="24"/>
          <w:szCs w:val="24"/>
        </w:rPr>
      </w:pPr>
      <w:r w:rsidRPr="00AB2887">
        <w:rPr>
          <w:rFonts w:asciiTheme="minorHAnsi" w:hAnsiTheme="minorHAnsi" w:cstheme="minorHAnsi"/>
          <w:sz w:val="24"/>
          <w:szCs w:val="24"/>
        </w:rPr>
        <w:t>the government program requirement – the project must not be likely to be carried out under another country, state, or territory government program or scheme in the absence of the project being eligible and earning credits under the Carbon Farming Standard; and</w:t>
      </w:r>
    </w:p>
    <w:p w14:paraId="2C1FD343" w14:textId="0EF786A6" w:rsidR="002368DE" w:rsidRPr="00912734" w:rsidRDefault="002368DE" w:rsidP="005C1D9C">
      <w:pPr>
        <w:pStyle w:val="ERACbullets"/>
        <w:numPr>
          <w:ilvl w:val="0"/>
          <w:numId w:val="33"/>
        </w:numPr>
        <w:ind w:left="357" w:hanging="357"/>
        <w:rPr>
          <w:rFonts w:asciiTheme="minorHAnsi" w:hAnsiTheme="minorHAnsi" w:cstheme="minorHAnsi"/>
          <w:sz w:val="24"/>
          <w:szCs w:val="24"/>
        </w:rPr>
      </w:pPr>
      <w:r w:rsidRPr="00912734">
        <w:rPr>
          <w:rFonts w:asciiTheme="minorHAnsi" w:hAnsiTheme="minorHAnsi" w:cstheme="minorHAnsi"/>
          <w:sz w:val="24"/>
          <w:szCs w:val="24"/>
        </w:rPr>
        <w:t xml:space="preserve">the regulatory additionality requirement – the project must not be required to be carried out by or under a law of the </w:t>
      </w:r>
      <w:r w:rsidR="00AB2887" w:rsidRPr="00AB2887">
        <w:rPr>
          <w:rFonts w:asciiTheme="minorHAnsi" w:hAnsiTheme="minorHAnsi" w:cstheme="minorHAnsi"/>
          <w:sz w:val="24"/>
          <w:szCs w:val="24"/>
        </w:rPr>
        <w:t>Country</w:t>
      </w:r>
      <w:r w:rsidRPr="00912734">
        <w:rPr>
          <w:rFonts w:asciiTheme="minorHAnsi" w:hAnsiTheme="minorHAnsi" w:cstheme="minorHAnsi"/>
          <w:sz w:val="24"/>
          <w:szCs w:val="24"/>
        </w:rPr>
        <w:t>, a state or a territory.</w:t>
      </w:r>
    </w:p>
    <w:p w14:paraId="5BF86EB4" w14:textId="7E737F6F" w:rsidR="002368DE" w:rsidRPr="00912734" w:rsidRDefault="002368DE" w:rsidP="005C1D9C">
      <w:pPr>
        <w:autoSpaceDE w:val="0"/>
        <w:autoSpaceDN w:val="0"/>
        <w:adjustRightInd w:val="0"/>
        <w:spacing w:after="240" w:line="276" w:lineRule="auto"/>
        <w:rPr>
          <w:sz w:val="24"/>
        </w:rPr>
      </w:pPr>
      <w:r w:rsidRPr="00912734">
        <w:rPr>
          <w:sz w:val="24"/>
        </w:rPr>
        <w:t xml:space="preserve">The regulatory additionality test can still be met in certain situations where there are </w:t>
      </w:r>
      <w:r w:rsidR="00AB2887" w:rsidRPr="00AB2887">
        <w:rPr>
          <w:sz w:val="24"/>
        </w:rPr>
        <w:t>Country</w:t>
      </w:r>
      <w:r w:rsidRPr="00912734">
        <w:rPr>
          <w:sz w:val="24"/>
        </w:rPr>
        <w:t>, state or territory requirements to reduce or offset emissions. Those circumstances are where:</w:t>
      </w:r>
    </w:p>
    <w:p w14:paraId="64BBE686" w14:textId="77777777" w:rsidR="002368DE" w:rsidRPr="00912734" w:rsidRDefault="002368DE" w:rsidP="005C1D9C">
      <w:pPr>
        <w:pStyle w:val="ERACbullets"/>
        <w:numPr>
          <w:ilvl w:val="0"/>
          <w:numId w:val="33"/>
        </w:numPr>
        <w:ind w:left="357" w:hanging="357"/>
        <w:rPr>
          <w:rFonts w:asciiTheme="minorHAnsi" w:hAnsiTheme="minorHAnsi" w:cstheme="minorHAnsi"/>
          <w:sz w:val="24"/>
          <w:szCs w:val="24"/>
        </w:rPr>
      </w:pPr>
      <w:r w:rsidRPr="00912734">
        <w:rPr>
          <w:rFonts w:asciiTheme="minorHAnsi" w:hAnsiTheme="minorHAnsi" w:cstheme="minorHAnsi"/>
          <w:sz w:val="24"/>
          <w:szCs w:val="24"/>
        </w:rPr>
        <w:t>the project activity goes beyond any existing legal requirement; or</w:t>
      </w:r>
    </w:p>
    <w:p w14:paraId="17879B8B" w14:textId="01AD6F6E" w:rsidR="002368DE" w:rsidRPr="00912734" w:rsidRDefault="00F30F04" w:rsidP="005C1D9C">
      <w:pPr>
        <w:pStyle w:val="ERACbullets"/>
        <w:numPr>
          <w:ilvl w:val="0"/>
          <w:numId w:val="33"/>
        </w:numPr>
        <w:ind w:left="357" w:hanging="357"/>
        <w:rPr>
          <w:rFonts w:asciiTheme="minorHAnsi" w:hAnsiTheme="minorHAnsi" w:cstheme="minorHAnsi"/>
          <w:sz w:val="24"/>
          <w:szCs w:val="24"/>
        </w:rPr>
      </w:pPr>
      <w:r w:rsidRPr="00F30F04">
        <w:rPr>
          <w:rFonts w:asciiTheme="minorHAnsi" w:hAnsiTheme="minorHAnsi" w:cstheme="minorHAnsi"/>
          <w:sz w:val="24"/>
          <w:szCs w:val="24"/>
          <w:shd w:val="clear" w:color="auto" w:fill="FFFFFF"/>
        </w:rPr>
        <w:lastRenderedPageBreak/>
        <w:t>the Country, state or territory regulatory requirement refers to reducing or offsetting emissions but does not mandate a specific activity; any BRUs used to meet the regulatory requirement are permanently set aside in a BidCarbon Foundation holding account in the BidCarbon Unit and Certificate Registry. This ensures that the project remains additional and that no financial benefit can be obtained from the BRUs used to satisfy the regulatory requirement</w:t>
      </w:r>
      <w:r w:rsidR="002368DE" w:rsidRPr="00912734">
        <w:rPr>
          <w:rFonts w:asciiTheme="minorHAnsi" w:hAnsiTheme="minorHAnsi" w:cstheme="minorHAnsi"/>
          <w:sz w:val="24"/>
          <w:szCs w:val="24"/>
        </w:rPr>
        <w:t>.</w:t>
      </w:r>
    </w:p>
    <w:p w14:paraId="53FB0EA3" w14:textId="4D73BAE2" w:rsidR="001843FD" w:rsidRDefault="001843FD" w:rsidP="005C1D9C">
      <w:pPr>
        <w:spacing w:line="276" w:lineRule="auto"/>
        <w:rPr>
          <w:sz w:val="24"/>
        </w:rPr>
      </w:pPr>
      <w:r w:rsidRPr="001843FD">
        <w:rPr>
          <w:sz w:val="24"/>
        </w:rPr>
        <w:t>Data collected may have additional value for other purposes, including but not limited to research, analysis, scheme integrity enhancement, and policy development.</w:t>
      </w:r>
    </w:p>
    <w:p w14:paraId="4866D672" w14:textId="3E3009F7" w:rsidR="002368DE" w:rsidRPr="00912734" w:rsidRDefault="002368DE" w:rsidP="005C1D9C">
      <w:pPr>
        <w:spacing w:line="276" w:lineRule="auto"/>
        <w:rPr>
          <w:sz w:val="24"/>
        </w:rPr>
      </w:pPr>
      <w:r w:rsidRPr="00912734">
        <w:rPr>
          <w:sz w:val="24"/>
        </w:rPr>
        <w:t xml:space="preserve">These three project-level additionality requirements can be displaced by ‘in lieu requirements’ contained in the methods and </w:t>
      </w:r>
      <w:r w:rsidR="00F00B9C">
        <w:rPr>
          <w:sz w:val="24"/>
        </w:rPr>
        <w:t>rules</w:t>
      </w:r>
      <w:r w:rsidRPr="00912734">
        <w:rPr>
          <w:sz w:val="24"/>
        </w:rPr>
        <w:t xml:space="preserve">. Any in lieu requirements must be considered by </w:t>
      </w:r>
      <w:r w:rsidR="008E2AC3">
        <w:rPr>
          <w:sz w:val="24"/>
        </w:rPr>
        <w:t>the TAC</w:t>
      </w:r>
      <w:r w:rsidRPr="00912734">
        <w:rPr>
          <w:sz w:val="24"/>
        </w:rPr>
        <w:t xml:space="preserve"> in its assessment of the method.</w:t>
      </w:r>
    </w:p>
    <w:p w14:paraId="2796CB06" w14:textId="1A46A3A7" w:rsidR="00386A94" w:rsidRDefault="008E2AC3" w:rsidP="005C1D9C">
      <w:pPr>
        <w:spacing w:line="276" w:lineRule="auto"/>
        <w:rPr>
          <w:sz w:val="24"/>
        </w:rPr>
      </w:pPr>
      <w:r>
        <w:rPr>
          <w:sz w:val="24"/>
        </w:rPr>
        <w:t>The TAC</w:t>
      </w:r>
      <w:r w:rsidR="00386A94" w:rsidRPr="00386A94">
        <w:rPr>
          <w:sz w:val="24"/>
        </w:rPr>
        <w:t xml:space="preserve"> notes that the purpose of the government program requirement is to exclude large-scale government programs that directly support activities which could otherwise be eligible under the BidCarbon Standard Scheme.</w:t>
      </w:r>
    </w:p>
    <w:p w14:paraId="2C3DC109" w14:textId="7AECF389" w:rsidR="002368DE" w:rsidRPr="00912734" w:rsidRDefault="00386A94" w:rsidP="005C1D9C">
      <w:pPr>
        <w:spacing w:line="276" w:lineRule="auto"/>
        <w:rPr>
          <w:sz w:val="24"/>
        </w:rPr>
      </w:pPr>
      <w:r w:rsidRPr="00386A94">
        <w:rPr>
          <w:sz w:val="24"/>
        </w:rPr>
        <w:t xml:space="preserve">While the Scheme allows multiple sources of finance, including to support projects that deliver environmental, social or economic co-benefits, a method may be found not to satisfy the additionality standard where </w:t>
      </w:r>
      <w:r w:rsidR="008E2AC3">
        <w:rPr>
          <w:sz w:val="24"/>
        </w:rPr>
        <w:t>the TAC</w:t>
      </w:r>
      <w:r w:rsidRPr="00386A94">
        <w:rPr>
          <w:sz w:val="24"/>
        </w:rPr>
        <w:t xml:space="preserve"> determines that an activity would be substantially funded by a government program not listed in the rules</w:t>
      </w:r>
      <w:r w:rsidR="002368DE" w:rsidRPr="00912734">
        <w:rPr>
          <w:sz w:val="24"/>
        </w:rPr>
        <w:t>.</w:t>
      </w:r>
    </w:p>
    <w:p w14:paraId="58234624" w14:textId="2EE20EF7" w:rsidR="002368DE" w:rsidRPr="00912734" w:rsidRDefault="002368DE" w:rsidP="005C1D9C">
      <w:pPr>
        <w:spacing w:line="276" w:lineRule="auto"/>
        <w:rPr>
          <w:sz w:val="24"/>
        </w:rPr>
      </w:pPr>
      <w:r w:rsidRPr="00912734">
        <w:rPr>
          <w:sz w:val="24"/>
        </w:rPr>
        <w:t xml:space="preserve">In applying the project test, </w:t>
      </w:r>
      <w:r w:rsidR="008E2AC3">
        <w:rPr>
          <w:sz w:val="24"/>
        </w:rPr>
        <w:t>the TAC</w:t>
      </w:r>
      <w:r w:rsidRPr="00912734">
        <w:rPr>
          <w:sz w:val="24"/>
        </w:rPr>
        <w:t xml:space="preserve">’s general approach is to consider: </w:t>
      </w:r>
    </w:p>
    <w:p w14:paraId="5C46C50B" w14:textId="4EEACD06" w:rsidR="002368DE" w:rsidRPr="00912734" w:rsidRDefault="002368DE" w:rsidP="005C1D9C">
      <w:pPr>
        <w:pStyle w:val="ERACbullets"/>
        <w:numPr>
          <w:ilvl w:val="0"/>
          <w:numId w:val="33"/>
        </w:numPr>
        <w:ind w:left="357" w:hanging="357"/>
        <w:rPr>
          <w:rFonts w:asciiTheme="minorHAnsi" w:hAnsiTheme="minorHAnsi" w:cstheme="minorHAnsi"/>
          <w:sz w:val="24"/>
          <w:szCs w:val="24"/>
        </w:rPr>
      </w:pPr>
      <w:r w:rsidRPr="00912734">
        <w:rPr>
          <w:rFonts w:asciiTheme="minorHAnsi" w:hAnsiTheme="minorHAnsi" w:cstheme="minorHAnsi"/>
          <w:sz w:val="24"/>
          <w:szCs w:val="24"/>
        </w:rPr>
        <w:t xml:space="preserve">whether and to what extent potential eligible project activities under the method are already required to be carried out by or under a law of </w:t>
      </w:r>
      <w:r w:rsidR="00F30F04">
        <w:rPr>
          <w:rFonts w:asciiTheme="minorHAnsi" w:hAnsiTheme="minorHAnsi" w:cstheme="minorHAnsi"/>
          <w:sz w:val="24"/>
          <w:szCs w:val="24"/>
        </w:rPr>
        <w:t>the Country</w:t>
      </w:r>
      <w:r w:rsidRPr="00912734">
        <w:rPr>
          <w:rFonts w:asciiTheme="minorHAnsi" w:hAnsiTheme="minorHAnsi" w:cstheme="minorHAnsi"/>
          <w:sz w:val="24"/>
          <w:szCs w:val="24"/>
        </w:rPr>
        <w:t>, a state or a territory;</w:t>
      </w:r>
    </w:p>
    <w:p w14:paraId="22021B67" w14:textId="5304BD66" w:rsidR="002368DE" w:rsidRPr="00912734" w:rsidRDefault="002368DE" w:rsidP="005C1D9C">
      <w:pPr>
        <w:pStyle w:val="ERACbullets"/>
        <w:numPr>
          <w:ilvl w:val="0"/>
          <w:numId w:val="33"/>
        </w:numPr>
        <w:ind w:left="357" w:hanging="357"/>
        <w:rPr>
          <w:rFonts w:asciiTheme="minorHAnsi" w:hAnsiTheme="minorHAnsi" w:cstheme="minorHAnsi"/>
          <w:sz w:val="24"/>
          <w:szCs w:val="24"/>
        </w:rPr>
      </w:pPr>
      <w:r w:rsidRPr="00912734">
        <w:rPr>
          <w:rFonts w:asciiTheme="minorHAnsi" w:hAnsiTheme="minorHAnsi" w:cstheme="minorHAnsi"/>
          <w:sz w:val="24"/>
          <w:szCs w:val="24"/>
        </w:rPr>
        <w:t>whether and to what extent projects that are eligible under the method are likely to be financially viable without the incentive provided by the scheme;</w:t>
      </w:r>
    </w:p>
    <w:p w14:paraId="45E2012E" w14:textId="77777777" w:rsidR="002368DE" w:rsidRPr="00912734" w:rsidRDefault="002368DE" w:rsidP="005C1D9C">
      <w:pPr>
        <w:pStyle w:val="ERACbullets"/>
        <w:numPr>
          <w:ilvl w:val="0"/>
          <w:numId w:val="33"/>
        </w:numPr>
        <w:ind w:left="357" w:hanging="357"/>
        <w:rPr>
          <w:rFonts w:asciiTheme="minorHAnsi" w:hAnsiTheme="minorHAnsi" w:cstheme="minorHAnsi"/>
          <w:sz w:val="24"/>
          <w:szCs w:val="24"/>
        </w:rPr>
      </w:pPr>
      <w:r w:rsidRPr="00912734">
        <w:rPr>
          <w:rFonts w:asciiTheme="minorHAnsi" w:hAnsiTheme="minorHAnsi" w:cstheme="minorHAnsi"/>
          <w:sz w:val="24"/>
          <w:szCs w:val="24"/>
        </w:rPr>
        <w:t>whether and to what extent there are relevant alternatives to the project activities that are likely to generate higher financial returns but result in more emissions or less carbon sequestration;</w:t>
      </w:r>
    </w:p>
    <w:p w14:paraId="0A54157C" w14:textId="77777777" w:rsidR="002368DE" w:rsidRPr="00912734" w:rsidRDefault="002368DE" w:rsidP="005C1D9C">
      <w:pPr>
        <w:pStyle w:val="ERACbullets"/>
        <w:numPr>
          <w:ilvl w:val="0"/>
          <w:numId w:val="33"/>
        </w:numPr>
        <w:ind w:left="357" w:hanging="357"/>
        <w:rPr>
          <w:rFonts w:asciiTheme="minorHAnsi" w:hAnsiTheme="minorHAnsi" w:cstheme="minorHAnsi"/>
          <w:sz w:val="24"/>
          <w:szCs w:val="24"/>
        </w:rPr>
      </w:pPr>
      <w:r w:rsidRPr="00912734">
        <w:rPr>
          <w:rFonts w:asciiTheme="minorHAnsi" w:hAnsiTheme="minorHAnsi" w:cstheme="minorHAnsi"/>
          <w:sz w:val="24"/>
          <w:szCs w:val="24"/>
        </w:rPr>
        <w:t>whether and to what extent there are any non-financial barriers that might obstruct the projects from being undertaken, which the incentive provided by the scheme can help overcome; and</w:t>
      </w:r>
    </w:p>
    <w:p w14:paraId="56C8EC5E" w14:textId="77777777" w:rsidR="002368DE" w:rsidRPr="00912734" w:rsidRDefault="002368DE" w:rsidP="005C1D9C">
      <w:pPr>
        <w:pStyle w:val="ERACbullets"/>
        <w:numPr>
          <w:ilvl w:val="0"/>
          <w:numId w:val="33"/>
        </w:numPr>
        <w:ind w:left="357" w:hanging="357"/>
        <w:rPr>
          <w:rFonts w:asciiTheme="minorHAnsi" w:hAnsiTheme="minorHAnsi" w:cstheme="minorHAnsi"/>
          <w:sz w:val="24"/>
          <w:szCs w:val="24"/>
        </w:rPr>
      </w:pPr>
      <w:r w:rsidRPr="00912734">
        <w:rPr>
          <w:rFonts w:asciiTheme="minorHAnsi" w:hAnsiTheme="minorHAnsi" w:cstheme="minorHAnsi"/>
          <w:sz w:val="24"/>
          <w:szCs w:val="24"/>
        </w:rPr>
        <w:t>whether the project activities are common practice in the relevant industry or region.</w:t>
      </w:r>
    </w:p>
    <w:p w14:paraId="7520C66F" w14:textId="0953F48B" w:rsidR="002368DE" w:rsidRPr="00912734" w:rsidRDefault="00386A94" w:rsidP="005C1D9C">
      <w:pPr>
        <w:spacing w:line="276" w:lineRule="auto"/>
        <w:rPr>
          <w:sz w:val="24"/>
        </w:rPr>
      </w:pPr>
      <w:r w:rsidRPr="00386A94">
        <w:rPr>
          <w:sz w:val="24"/>
        </w:rPr>
        <w:t xml:space="preserve">While </w:t>
      </w:r>
      <w:r w:rsidR="008E2AC3">
        <w:rPr>
          <w:sz w:val="24"/>
        </w:rPr>
        <w:t>the TAC</w:t>
      </w:r>
      <w:r w:rsidRPr="00386A94">
        <w:rPr>
          <w:sz w:val="24"/>
        </w:rPr>
        <w:t xml:space="preserve"> considers the financial impacts associated with an activity when assessing additionality, the additionality standard is not intended to operate as a strict financial additionality test. A strict interpretation could otherwise exclude projects that deliver financial co-benefits</w:t>
      </w:r>
      <w:r w:rsidR="002368DE" w:rsidRPr="00912734">
        <w:rPr>
          <w:sz w:val="24"/>
        </w:rPr>
        <w:t>.</w:t>
      </w:r>
    </w:p>
    <w:p w14:paraId="05698CEF" w14:textId="5DA057A5" w:rsidR="002368DE" w:rsidRPr="00912734" w:rsidRDefault="00386A94" w:rsidP="005C1D9C">
      <w:pPr>
        <w:spacing w:line="276" w:lineRule="auto"/>
        <w:rPr>
          <w:sz w:val="24"/>
        </w:rPr>
      </w:pPr>
      <w:r w:rsidRPr="00386A94">
        <w:rPr>
          <w:sz w:val="24"/>
        </w:rPr>
        <w:t xml:space="preserve">Many BidCarbon Standard Scheme projects deliver financial co-benefits, such as reduced operating costs from energy efficiency measures or increased productivity from biochar activities. The </w:t>
      </w:r>
      <w:r w:rsidRPr="00386A94">
        <w:rPr>
          <w:sz w:val="24"/>
        </w:rPr>
        <w:lastRenderedPageBreak/>
        <w:t xml:space="preserve">Scheme permits projects with multiple benefits and multiple funding sources, recognising that revenue from </w:t>
      </w:r>
      <w:r w:rsidR="008E2AC3">
        <w:rPr>
          <w:sz w:val="24"/>
        </w:rPr>
        <w:t>BidCarbon Removal Unit</w:t>
      </w:r>
      <w:r w:rsidRPr="00386A94">
        <w:rPr>
          <w:sz w:val="24"/>
        </w:rPr>
        <w:t>s (BRUs) alone is often insufficient to ensure financial viability. Supporting projects that both reduce emissions and deliver co-benefits can lower the level of Scheme support required, improving project viability and enabling broader participation</w:t>
      </w:r>
      <w:r w:rsidR="002368DE" w:rsidRPr="00912734">
        <w:rPr>
          <w:sz w:val="24"/>
        </w:rPr>
        <w:t>.</w:t>
      </w:r>
    </w:p>
    <w:p w14:paraId="3D5062FF" w14:textId="2FCE5BFF" w:rsidR="002368DE" w:rsidRPr="00386A94" w:rsidRDefault="00386A94" w:rsidP="005C1D9C">
      <w:pPr>
        <w:autoSpaceDE w:val="0"/>
        <w:autoSpaceDN w:val="0"/>
        <w:adjustRightInd w:val="0"/>
        <w:spacing w:after="240" w:line="276" w:lineRule="auto"/>
        <w:rPr>
          <w:sz w:val="24"/>
          <w:lang w:val="en-US"/>
        </w:rPr>
      </w:pPr>
      <w:r w:rsidRPr="00386A94">
        <w:rPr>
          <w:b/>
          <w:bCs/>
          <w:sz w:val="24"/>
          <w:lang w:val="en-US"/>
        </w:rPr>
        <w:t>Interpreting the additionality standard can be challenging for projects where scheme-related revenue is small relative to other income streams, or where significant upfront capital investment is required. Such projects may still be additional where participation in the Scheme acts as a tipping point—supporting a final investment decision or accelerating an investment that would not otherwise occur. For certain methods, requiring a written declaration from a CFO or CEO regarding the project’s financial viability and the likelihood of proceeding in the absence of the Scheme may provide an appropriate form of assurance of additionality</w:t>
      </w:r>
      <w:r w:rsidR="002368DE" w:rsidRPr="00912734">
        <w:rPr>
          <w:sz w:val="24"/>
        </w:rPr>
        <w:t>.</w:t>
      </w:r>
    </w:p>
    <w:p w14:paraId="4FF2B6FD" w14:textId="1845EB30" w:rsidR="002368DE" w:rsidRPr="00386A94" w:rsidRDefault="00386A94" w:rsidP="005C1D9C">
      <w:pPr>
        <w:autoSpaceDE w:val="0"/>
        <w:autoSpaceDN w:val="0"/>
        <w:adjustRightInd w:val="0"/>
        <w:spacing w:after="240" w:line="276" w:lineRule="auto"/>
        <w:rPr>
          <w:sz w:val="24"/>
          <w:lang w:val="en-US"/>
        </w:rPr>
      </w:pPr>
      <w:r w:rsidRPr="00386A94">
        <w:rPr>
          <w:sz w:val="24"/>
          <w:lang w:val="en-US"/>
        </w:rPr>
        <w:t>These issues are generally assessed at the time of assessment, including whether eligible projects are currently required under applicable laws and whether they are financially viable under prevailing market conditions. Consideration may also be given to foreseeable future developments, such as the potential introduction of new technologies that could materially affect the financial viability of eligible activities</w:t>
      </w:r>
      <w:r w:rsidR="002368DE" w:rsidRPr="00386A94">
        <w:rPr>
          <w:sz w:val="24"/>
        </w:rPr>
        <w:t>.</w:t>
      </w:r>
    </w:p>
    <w:p w14:paraId="2D62E665" w14:textId="294404C6" w:rsidR="002368DE" w:rsidRPr="00912734" w:rsidRDefault="00386A94" w:rsidP="005C1D9C">
      <w:pPr>
        <w:autoSpaceDE w:val="0"/>
        <w:autoSpaceDN w:val="0"/>
        <w:adjustRightInd w:val="0"/>
        <w:spacing w:after="240" w:line="276" w:lineRule="auto"/>
        <w:rPr>
          <w:sz w:val="24"/>
        </w:rPr>
      </w:pPr>
      <w:r w:rsidRPr="00386A94">
        <w:rPr>
          <w:sz w:val="24"/>
        </w:rPr>
        <w:t>In applying the baseline test, it is necessary to assess whether the baseline level of net emissions used to calculate credited abatement accurately reflects the likely level of net emissions within the project boundary over the crediting period in the absence of the Scheme incentive. This assessment typically requires consideration of whether relevant abatement activities would occur under business-as-usual conditions over the crediting period, rather than focusing solely on additionality at the time of project registration</w:t>
      </w:r>
      <w:r w:rsidR="002368DE" w:rsidRPr="00912734">
        <w:rPr>
          <w:sz w:val="24"/>
        </w:rPr>
        <w:t>.</w:t>
      </w:r>
    </w:p>
    <w:p w14:paraId="462D8C67" w14:textId="6304012A" w:rsidR="002368DE" w:rsidRPr="00912734" w:rsidRDefault="00386A94" w:rsidP="005C1D9C">
      <w:pPr>
        <w:autoSpaceDE w:val="0"/>
        <w:autoSpaceDN w:val="0"/>
        <w:adjustRightInd w:val="0"/>
        <w:spacing w:after="240" w:line="276" w:lineRule="auto"/>
        <w:rPr>
          <w:b/>
          <w:bCs/>
          <w:sz w:val="24"/>
        </w:rPr>
      </w:pPr>
      <w:r w:rsidRPr="00386A94">
        <w:rPr>
          <w:sz w:val="24"/>
        </w:rPr>
        <w:t>When setting a baseline, trade-offs may arise between providing certainty about the emissions counterfactual, accounting for uncertainty and changes over time, and meeting the conservativeness standard. Declining baselines may be used to help simplify the treatment of additionality across a broader range of methods. For methods where changes in the counterfactual are not predictable or linear, alternative approaches may be required</w:t>
      </w:r>
      <w:r w:rsidR="002368DE" w:rsidRPr="00912734">
        <w:rPr>
          <w:sz w:val="24"/>
        </w:rPr>
        <w:t>.</w:t>
      </w:r>
    </w:p>
    <w:p w14:paraId="763C5BA7" w14:textId="10D4B991" w:rsidR="00047F85" w:rsidRDefault="0028235B" w:rsidP="005C1D9C">
      <w:pPr>
        <w:spacing w:line="276" w:lineRule="auto"/>
        <w:rPr>
          <w:sz w:val="24"/>
        </w:rPr>
      </w:pPr>
      <w:r w:rsidRPr="0028235B">
        <w:rPr>
          <w:sz w:val="24"/>
        </w:rPr>
        <w:t>For sequestration projects to deliver climate benefits equivalent to emissions avoidance projects, they must be additional over time. However, the additionality standard does not require a determination that sequestration projects would never occur, either now or in the future, in the absence of Scheme incentives. The Carbon Farming Standard reflects a clear intent to incentivise sequestration projects, provided that the abatement generated can be applied toward participants’ mitigation targets</w:t>
      </w:r>
      <w:r w:rsidR="00047F85" w:rsidRPr="00047F85">
        <w:rPr>
          <w:sz w:val="24"/>
        </w:rPr>
        <w:t>.</w:t>
      </w:r>
    </w:p>
    <w:p w14:paraId="5C7031D8" w14:textId="7B9BB4D8" w:rsidR="002368DE" w:rsidRPr="00912734" w:rsidRDefault="0028235B" w:rsidP="005C1D9C">
      <w:pPr>
        <w:spacing w:line="276" w:lineRule="auto"/>
        <w:rPr>
          <w:sz w:val="24"/>
        </w:rPr>
      </w:pPr>
      <w:r w:rsidRPr="0028235B">
        <w:rPr>
          <w:sz w:val="24"/>
        </w:rPr>
        <w:t xml:space="preserve">When applying the additionality standard to sequestration methods, it is assessed whether the events leading to relevant sequestration are likely to occur now or in the foreseeable future in the absence of Scheme incentives, rather than whether they would ever occur without the incentive. </w:t>
      </w:r>
      <w:r w:rsidRPr="0028235B">
        <w:rPr>
          <w:sz w:val="24"/>
        </w:rPr>
        <w:lastRenderedPageBreak/>
        <w:t>These sequestration events need not result from direct human intervention, as climate or other natural changes can influence increases and decreases in vegetation and soil carbon stocks</w:t>
      </w:r>
      <w:r w:rsidR="00047F85" w:rsidRPr="00047F85">
        <w:rPr>
          <w:sz w:val="24"/>
        </w:rPr>
        <w:t>.</w:t>
      </w:r>
    </w:p>
    <w:p w14:paraId="09F465A5" w14:textId="77777777" w:rsidR="002368DE" w:rsidRPr="005C1D9C" w:rsidRDefault="002368DE" w:rsidP="005C1D9C">
      <w:pPr>
        <w:pStyle w:val="30"/>
        <w:spacing w:line="276" w:lineRule="auto"/>
      </w:pPr>
      <w:bookmarkStart w:id="9" w:name="_Toc220426933"/>
      <w:r w:rsidRPr="005C1D9C">
        <w:rPr>
          <w:bCs w:val="0"/>
        </w:rPr>
        <w:t>6.2 Measurable and verifiable</w:t>
      </w:r>
      <w:bookmarkEnd w:id="9"/>
    </w:p>
    <w:p w14:paraId="7FEC14E6" w14:textId="387E77FE" w:rsidR="002368DE" w:rsidRPr="00047F85" w:rsidRDefault="002368DE" w:rsidP="005C1D9C">
      <w:pPr>
        <w:autoSpaceDE w:val="0"/>
        <w:autoSpaceDN w:val="0"/>
        <w:adjustRightInd w:val="0"/>
        <w:spacing w:before="120" w:after="120" w:line="276" w:lineRule="auto"/>
        <w:rPr>
          <w:sz w:val="24"/>
        </w:rPr>
      </w:pPr>
      <w:r w:rsidRPr="00047F85">
        <w:rPr>
          <w:sz w:val="24"/>
        </w:rPr>
        <w:t xml:space="preserve">The measurable and verifiable standard is contained in </w:t>
      </w:r>
      <w:r w:rsidR="0028235B">
        <w:rPr>
          <w:sz w:val="24"/>
        </w:rPr>
        <w:t xml:space="preserve">paragraph </w:t>
      </w:r>
      <w:proofErr w:type="gramStart"/>
      <w:r w:rsidR="0028235B">
        <w:rPr>
          <w:sz w:val="24"/>
        </w:rPr>
        <w:t>102.</w:t>
      </w:r>
      <w:r w:rsidRPr="00047F85">
        <w:rPr>
          <w:sz w:val="24"/>
        </w:rPr>
        <w:t>(</w:t>
      </w:r>
      <w:proofErr w:type="gramEnd"/>
      <w:r w:rsidRPr="00047F85">
        <w:rPr>
          <w:sz w:val="24"/>
        </w:rPr>
        <w:t>1)(b)</w:t>
      </w:r>
      <w:r w:rsidR="00047F85" w:rsidRPr="00047F85">
        <w:rPr>
          <w:rFonts w:hint="eastAsia"/>
          <w:sz w:val="24"/>
          <w:lang w:eastAsia="zh-CN"/>
        </w:rPr>
        <w:t xml:space="preserve"> </w:t>
      </w:r>
      <w:r w:rsidR="00047F85" w:rsidRPr="00047F85">
        <w:rPr>
          <w:sz w:val="24"/>
        </w:rPr>
        <w:t>of the Carbon Farming Standard</w:t>
      </w:r>
      <w:r w:rsidRPr="00047F85">
        <w:rPr>
          <w:sz w:val="24"/>
        </w:rPr>
        <w:t>, which states:</w:t>
      </w:r>
    </w:p>
    <w:p w14:paraId="1EEAB0F8" w14:textId="5B76B6FF" w:rsidR="002368DE" w:rsidRPr="00047F85" w:rsidRDefault="002368DE" w:rsidP="005C1D9C">
      <w:pPr>
        <w:pStyle w:val="a"/>
        <w:numPr>
          <w:ilvl w:val="0"/>
          <w:numId w:val="0"/>
        </w:numPr>
        <w:spacing w:after="120"/>
        <w:ind w:left="738" w:hanging="18"/>
        <w:rPr>
          <w:rFonts w:asciiTheme="minorHAnsi" w:hAnsiTheme="minorHAnsi" w:cstheme="minorHAnsi"/>
          <w:i/>
          <w:sz w:val="24"/>
          <w:szCs w:val="24"/>
          <w:lang w:val="en-US"/>
        </w:rPr>
      </w:pPr>
      <w:r w:rsidRPr="00047F85">
        <w:rPr>
          <w:rFonts w:asciiTheme="minorHAnsi" w:hAnsiTheme="minorHAnsi" w:cstheme="minorHAnsi"/>
          <w:i/>
          <w:sz w:val="24"/>
          <w:szCs w:val="24"/>
        </w:rPr>
        <w:t xml:space="preserve">to the extent to which a method specified in, or ascertained in accordance with, a methodology determination in accordance with </w:t>
      </w:r>
      <w:r w:rsidR="0028235B">
        <w:rPr>
          <w:rFonts w:asciiTheme="minorHAnsi" w:hAnsiTheme="minorHAnsi" w:cstheme="minorHAnsi"/>
          <w:i/>
          <w:sz w:val="24"/>
          <w:szCs w:val="24"/>
        </w:rPr>
        <w:t xml:space="preserve">paragraph </w:t>
      </w:r>
      <w:proofErr w:type="gramStart"/>
      <w:r w:rsidR="0028235B">
        <w:rPr>
          <w:rFonts w:asciiTheme="minorHAnsi" w:hAnsiTheme="minorHAnsi" w:cstheme="minorHAnsi"/>
          <w:i/>
          <w:sz w:val="24"/>
          <w:szCs w:val="24"/>
        </w:rPr>
        <w:t>90.</w:t>
      </w:r>
      <w:r w:rsidRPr="00047F85">
        <w:rPr>
          <w:rFonts w:asciiTheme="minorHAnsi" w:hAnsiTheme="minorHAnsi" w:cstheme="minorHAnsi"/>
          <w:i/>
          <w:sz w:val="24"/>
          <w:szCs w:val="24"/>
        </w:rPr>
        <w:t>(</w:t>
      </w:r>
      <w:proofErr w:type="gramEnd"/>
      <w:r w:rsidRPr="00047F85">
        <w:rPr>
          <w:rFonts w:asciiTheme="minorHAnsi" w:hAnsiTheme="minorHAnsi" w:cstheme="minorHAnsi"/>
          <w:i/>
          <w:sz w:val="24"/>
          <w:szCs w:val="24"/>
        </w:rPr>
        <w:t>1)(c) involves ascertaining any of the following:</w:t>
      </w:r>
    </w:p>
    <w:p w14:paraId="2C93E5D9" w14:textId="77777777" w:rsidR="002368DE" w:rsidRPr="00047F85" w:rsidRDefault="002368DE" w:rsidP="005C1D9C">
      <w:pPr>
        <w:pStyle w:val="a"/>
        <w:numPr>
          <w:ilvl w:val="0"/>
          <w:numId w:val="0"/>
        </w:numPr>
        <w:spacing w:after="120"/>
        <w:ind w:left="369" w:firstLine="720"/>
        <w:rPr>
          <w:rFonts w:asciiTheme="minorHAnsi" w:hAnsiTheme="minorHAnsi" w:cstheme="minorHAnsi"/>
          <w:i/>
          <w:sz w:val="24"/>
          <w:szCs w:val="24"/>
          <w:lang w:val="en-US"/>
        </w:rPr>
      </w:pPr>
      <w:r w:rsidRPr="00047F85">
        <w:rPr>
          <w:rFonts w:asciiTheme="minorHAnsi" w:hAnsiTheme="minorHAnsi" w:cstheme="minorHAnsi"/>
          <w:i/>
          <w:sz w:val="24"/>
          <w:szCs w:val="24"/>
        </w:rPr>
        <w:t>(i)  the removal of one or more greenhouse gases from the atmosphere;</w:t>
      </w:r>
    </w:p>
    <w:p w14:paraId="40E581CF" w14:textId="77777777" w:rsidR="002368DE" w:rsidRPr="00047F85" w:rsidRDefault="002368DE" w:rsidP="005C1D9C">
      <w:pPr>
        <w:pStyle w:val="a"/>
        <w:numPr>
          <w:ilvl w:val="0"/>
          <w:numId w:val="0"/>
        </w:numPr>
        <w:spacing w:after="120"/>
        <w:ind w:left="738" w:firstLine="351"/>
        <w:rPr>
          <w:rFonts w:asciiTheme="minorHAnsi" w:hAnsiTheme="minorHAnsi" w:cstheme="minorHAnsi"/>
          <w:i/>
          <w:sz w:val="24"/>
          <w:szCs w:val="24"/>
        </w:rPr>
      </w:pPr>
      <w:r w:rsidRPr="00047F85">
        <w:rPr>
          <w:rFonts w:asciiTheme="minorHAnsi" w:hAnsiTheme="minorHAnsi" w:cstheme="minorHAnsi"/>
          <w:i/>
          <w:sz w:val="24"/>
          <w:szCs w:val="24"/>
        </w:rPr>
        <w:t>(ii)  the reduction of emissions of one or more greenhouse gases into the atmosphere;</w:t>
      </w:r>
    </w:p>
    <w:p w14:paraId="3FB1C315" w14:textId="77777777" w:rsidR="002368DE" w:rsidRPr="00047F85" w:rsidRDefault="002368DE" w:rsidP="005C1D9C">
      <w:pPr>
        <w:pStyle w:val="a"/>
        <w:numPr>
          <w:ilvl w:val="0"/>
          <w:numId w:val="0"/>
        </w:numPr>
        <w:spacing w:after="120"/>
        <w:ind w:left="738" w:firstLine="351"/>
        <w:rPr>
          <w:rFonts w:asciiTheme="minorHAnsi" w:hAnsiTheme="minorHAnsi" w:cstheme="minorHAnsi"/>
          <w:i/>
          <w:sz w:val="24"/>
          <w:szCs w:val="24"/>
          <w:lang w:val="en-US"/>
        </w:rPr>
      </w:pPr>
      <w:r w:rsidRPr="00047F85">
        <w:rPr>
          <w:rFonts w:asciiTheme="minorHAnsi" w:hAnsiTheme="minorHAnsi" w:cstheme="minorHAnsi"/>
          <w:i/>
          <w:sz w:val="24"/>
          <w:szCs w:val="24"/>
        </w:rPr>
        <w:t>(iii)  the emission of one or more greenhouse gases into the atmosphere;</w:t>
      </w:r>
    </w:p>
    <w:p w14:paraId="2195D126" w14:textId="77777777" w:rsidR="002368DE" w:rsidRPr="00047F85" w:rsidRDefault="002368DE" w:rsidP="005C1D9C">
      <w:pPr>
        <w:pStyle w:val="a"/>
        <w:numPr>
          <w:ilvl w:val="0"/>
          <w:numId w:val="0"/>
        </w:numPr>
        <w:spacing w:after="120"/>
        <w:ind w:firstLine="720"/>
        <w:rPr>
          <w:rFonts w:asciiTheme="minorHAnsi" w:hAnsiTheme="minorHAnsi" w:cstheme="minorHAnsi"/>
          <w:i/>
          <w:sz w:val="24"/>
          <w:szCs w:val="24"/>
          <w:lang w:val="en-US"/>
        </w:rPr>
      </w:pPr>
      <w:r w:rsidRPr="00047F85">
        <w:rPr>
          <w:rFonts w:asciiTheme="minorHAnsi" w:hAnsiTheme="minorHAnsi" w:cstheme="minorHAnsi"/>
          <w:i/>
          <w:sz w:val="24"/>
          <w:szCs w:val="24"/>
        </w:rPr>
        <w:t>the removal, reduction or emission, as the case may be, should be:</w:t>
      </w:r>
    </w:p>
    <w:p w14:paraId="0B857474" w14:textId="77777777" w:rsidR="002368DE" w:rsidRPr="00047F85" w:rsidRDefault="002368DE" w:rsidP="005C1D9C">
      <w:pPr>
        <w:pStyle w:val="a"/>
        <w:numPr>
          <w:ilvl w:val="0"/>
          <w:numId w:val="0"/>
        </w:numPr>
        <w:spacing w:after="120"/>
        <w:ind w:left="369" w:firstLine="720"/>
        <w:rPr>
          <w:rFonts w:asciiTheme="minorHAnsi" w:hAnsiTheme="minorHAnsi" w:cstheme="minorHAnsi"/>
          <w:i/>
          <w:sz w:val="24"/>
          <w:szCs w:val="24"/>
          <w:lang w:val="en-US"/>
        </w:rPr>
      </w:pPr>
      <w:r w:rsidRPr="00047F85">
        <w:rPr>
          <w:rFonts w:asciiTheme="minorHAnsi" w:hAnsiTheme="minorHAnsi" w:cstheme="minorHAnsi"/>
          <w:i/>
          <w:sz w:val="24"/>
          <w:szCs w:val="24"/>
        </w:rPr>
        <w:t>(iv)  measurable; and</w:t>
      </w:r>
    </w:p>
    <w:p w14:paraId="19D12ADC" w14:textId="77777777" w:rsidR="002368DE" w:rsidRPr="00047F85" w:rsidRDefault="002368DE" w:rsidP="005C1D9C">
      <w:pPr>
        <w:pStyle w:val="a"/>
        <w:numPr>
          <w:ilvl w:val="0"/>
          <w:numId w:val="0"/>
        </w:numPr>
        <w:spacing w:after="120"/>
        <w:ind w:left="738" w:firstLine="351"/>
        <w:rPr>
          <w:rFonts w:asciiTheme="minorHAnsi" w:hAnsiTheme="minorHAnsi" w:cstheme="minorHAnsi"/>
          <w:i/>
          <w:sz w:val="24"/>
          <w:szCs w:val="24"/>
          <w:lang w:val="en-US"/>
        </w:rPr>
      </w:pPr>
      <w:r w:rsidRPr="00047F85">
        <w:rPr>
          <w:rFonts w:asciiTheme="minorHAnsi" w:hAnsiTheme="minorHAnsi" w:cstheme="minorHAnsi"/>
          <w:i/>
          <w:sz w:val="24"/>
          <w:szCs w:val="24"/>
        </w:rPr>
        <w:t>(v)  capable of being verified.</w:t>
      </w:r>
    </w:p>
    <w:p w14:paraId="0865ED8D" w14:textId="5EB2545E" w:rsidR="002368DE" w:rsidRPr="00047F85" w:rsidRDefault="002368DE" w:rsidP="005C1D9C">
      <w:pPr>
        <w:autoSpaceDE w:val="0"/>
        <w:autoSpaceDN w:val="0"/>
        <w:adjustRightInd w:val="0"/>
        <w:spacing w:before="120" w:after="120" w:line="276" w:lineRule="auto"/>
        <w:rPr>
          <w:sz w:val="24"/>
        </w:rPr>
      </w:pPr>
      <w:r w:rsidRPr="00047F85">
        <w:rPr>
          <w:sz w:val="24"/>
        </w:rPr>
        <w:t xml:space="preserve">This standard as requiring three things: </w:t>
      </w:r>
    </w:p>
    <w:p w14:paraId="4956F378" w14:textId="77777777" w:rsidR="002368DE" w:rsidRPr="00047F85" w:rsidRDefault="002368DE" w:rsidP="005C1D9C">
      <w:pPr>
        <w:pStyle w:val="ERACbullets"/>
        <w:numPr>
          <w:ilvl w:val="0"/>
          <w:numId w:val="33"/>
        </w:numPr>
        <w:ind w:left="357" w:hanging="357"/>
        <w:rPr>
          <w:rFonts w:asciiTheme="minorHAnsi" w:hAnsiTheme="minorHAnsi" w:cstheme="minorHAnsi"/>
          <w:sz w:val="24"/>
          <w:szCs w:val="24"/>
        </w:rPr>
      </w:pPr>
      <w:r w:rsidRPr="00047F85">
        <w:rPr>
          <w:rFonts w:asciiTheme="minorHAnsi" w:hAnsiTheme="minorHAnsi" w:cstheme="minorHAnsi"/>
          <w:sz w:val="24"/>
          <w:szCs w:val="24"/>
        </w:rPr>
        <w:t xml:space="preserve">all removals, emissions reductions and project emissions (emissions within the project boundary caused by undertaking the project) associated with eligible projects must be able to be measured or estimated, and those measurements and estimates must be able to be verified; </w:t>
      </w:r>
    </w:p>
    <w:p w14:paraId="27C713BE" w14:textId="77777777" w:rsidR="002368DE" w:rsidRPr="00047F85" w:rsidRDefault="002368DE" w:rsidP="005C1D9C">
      <w:pPr>
        <w:pStyle w:val="ERACbullets"/>
        <w:numPr>
          <w:ilvl w:val="0"/>
          <w:numId w:val="33"/>
        </w:numPr>
        <w:ind w:left="357" w:hanging="357"/>
        <w:rPr>
          <w:rFonts w:asciiTheme="minorHAnsi" w:hAnsiTheme="minorHAnsi" w:cstheme="minorHAnsi"/>
          <w:sz w:val="24"/>
          <w:szCs w:val="24"/>
        </w:rPr>
      </w:pPr>
      <w:r w:rsidRPr="00047F85">
        <w:rPr>
          <w:rFonts w:asciiTheme="minorHAnsi" w:hAnsiTheme="minorHAnsi" w:cstheme="minorHAnsi"/>
          <w:sz w:val="24"/>
          <w:szCs w:val="24"/>
        </w:rPr>
        <w:t>the method must contain a rigorous and reliable way of measuring or estimating relevant removals, emission reductions and project emissions; and</w:t>
      </w:r>
    </w:p>
    <w:p w14:paraId="1B4D2F00" w14:textId="77777777" w:rsidR="002368DE" w:rsidRPr="00047F85" w:rsidRDefault="002368DE" w:rsidP="005C1D9C">
      <w:pPr>
        <w:pStyle w:val="ERACbullets"/>
        <w:numPr>
          <w:ilvl w:val="0"/>
          <w:numId w:val="33"/>
        </w:numPr>
        <w:ind w:left="357" w:hanging="357"/>
        <w:rPr>
          <w:rFonts w:asciiTheme="minorHAnsi" w:hAnsiTheme="minorHAnsi" w:cstheme="minorHAnsi"/>
          <w:sz w:val="24"/>
          <w:szCs w:val="24"/>
        </w:rPr>
      </w:pPr>
      <w:r w:rsidRPr="00047F85">
        <w:rPr>
          <w:rFonts w:asciiTheme="minorHAnsi" w:hAnsiTheme="minorHAnsi" w:cstheme="minorHAnsi"/>
          <w:sz w:val="24"/>
          <w:szCs w:val="24"/>
        </w:rPr>
        <w:t xml:space="preserve">the method must provide a robust approach to verifying relevant measurements and estimates. </w:t>
      </w:r>
    </w:p>
    <w:p w14:paraId="7B10D7B5" w14:textId="31208549" w:rsidR="002368DE" w:rsidRPr="00047F85" w:rsidRDefault="0028235B" w:rsidP="005C1D9C">
      <w:pPr>
        <w:autoSpaceDE w:val="0"/>
        <w:autoSpaceDN w:val="0"/>
        <w:adjustRightInd w:val="0"/>
        <w:spacing w:before="120" w:after="120" w:line="276" w:lineRule="auto"/>
        <w:rPr>
          <w:sz w:val="24"/>
        </w:rPr>
      </w:pPr>
      <w:r w:rsidRPr="0028235B">
        <w:rPr>
          <w:sz w:val="24"/>
        </w:rPr>
        <w:t>Factors relevant to assessment include:</w:t>
      </w:r>
    </w:p>
    <w:p w14:paraId="50302A3F" w14:textId="77777777" w:rsidR="002368DE" w:rsidRPr="00047F85" w:rsidRDefault="002368DE" w:rsidP="005C1D9C">
      <w:pPr>
        <w:pStyle w:val="ERACbullets"/>
        <w:numPr>
          <w:ilvl w:val="0"/>
          <w:numId w:val="33"/>
        </w:numPr>
        <w:ind w:left="357" w:hanging="357"/>
        <w:rPr>
          <w:rFonts w:asciiTheme="minorHAnsi" w:hAnsiTheme="minorHAnsi" w:cstheme="minorHAnsi"/>
          <w:sz w:val="24"/>
          <w:szCs w:val="24"/>
        </w:rPr>
      </w:pPr>
      <w:r w:rsidRPr="00047F85">
        <w:rPr>
          <w:rFonts w:asciiTheme="minorHAnsi" w:hAnsiTheme="minorHAnsi" w:cstheme="minorHAnsi"/>
          <w:sz w:val="24"/>
          <w:szCs w:val="24"/>
        </w:rPr>
        <w:t>How emissions and emissions reductions are calculated in the method. Emissions reduction calculations may be achieved by several means including: direct measurement; calculating through models; comparing the project emissions with a control group; or using emissions code ratings developed by industry.</w:t>
      </w:r>
    </w:p>
    <w:p w14:paraId="62D19783" w14:textId="77777777" w:rsidR="002368DE" w:rsidRPr="00047F85" w:rsidRDefault="002368DE" w:rsidP="005C1D9C">
      <w:pPr>
        <w:pStyle w:val="ERACbullets"/>
        <w:numPr>
          <w:ilvl w:val="0"/>
          <w:numId w:val="33"/>
        </w:numPr>
        <w:ind w:left="357" w:hanging="357"/>
        <w:rPr>
          <w:rFonts w:asciiTheme="minorHAnsi" w:hAnsiTheme="minorHAnsi" w:cstheme="minorHAnsi"/>
          <w:sz w:val="24"/>
          <w:szCs w:val="24"/>
        </w:rPr>
      </w:pPr>
      <w:r w:rsidRPr="00047F85">
        <w:rPr>
          <w:rFonts w:asciiTheme="minorHAnsi" w:hAnsiTheme="minorHAnsi" w:cstheme="minorHAnsi"/>
          <w:sz w:val="24"/>
          <w:szCs w:val="24"/>
        </w:rPr>
        <w:t>Whether there is sufficient evidence the preferred measurement or estimation approach is a robust technique. Evidence needs to demonstrate how the preferred measurement or estimation approach accounts for the removal, reduction or emission of greenhouse gases.</w:t>
      </w:r>
    </w:p>
    <w:p w14:paraId="1DAE7A9F" w14:textId="77777777" w:rsidR="002368DE" w:rsidRPr="00047F85" w:rsidRDefault="002368DE" w:rsidP="005C1D9C">
      <w:pPr>
        <w:pStyle w:val="ERACbullets"/>
        <w:numPr>
          <w:ilvl w:val="0"/>
          <w:numId w:val="33"/>
        </w:numPr>
        <w:ind w:left="357" w:hanging="357"/>
        <w:rPr>
          <w:rFonts w:asciiTheme="minorHAnsi" w:hAnsiTheme="minorHAnsi" w:cstheme="minorHAnsi"/>
          <w:sz w:val="24"/>
          <w:szCs w:val="24"/>
        </w:rPr>
      </w:pPr>
      <w:r w:rsidRPr="00047F85">
        <w:rPr>
          <w:rFonts w:asciiTheme="minorHAnsi" w:hAnsiTheme="minorHAnsi" w:cstheme="minorHAnsi"/>
          <w:sz w:val="24"/>
          <w:szCs w:val="24"/>
        </w:rPr>
        <w:t>Whether the measurement or estimation approach sufficiently controls for the impacts of factors unrelated to the project on relevant removals and emissions.</w:t>
      </w:r>
    </w:p>
    <w:p w14:paraId="49A2ED2B" w14:textId="77777777" w:rsidR="002368DE" w:rsidRPr="00047F85" w:rsidRDefault="002368DE" w:rsidP="005C1D9C">
      <w:pPr>
        <w:pStyle w:val="ERACbullets"/>
        <w:numPr>
          <w:ilvl w:val="0"/>
          <w:numId w:val="33"/>
        </w:numPr>
        <w:ind w:left="357" w:hanging="357"/>
        <w:rPr>
          <w:rFonts w:asciiTheme="minorHAnsi" w:hAnsiTheme="minorHAnsi" w:cstheme="minorHAnsi"/>
          <w:sz w:val="24"/>
          <w:szCs w:val="24"/>
        </w:rPr>
      </w:pPr>
      <w:r w:rsidRPr="00047F85">
        <w:rPr>
          <w:rFonts w:asciiTheme="minorHAnsi" w:hAnsiTheme="minorHAnsi" w:cstheme="minorHAnsi"/>
          <w:sz w:val="24"/>
          <w:szCs w:val="24"/>
        </w:rPr>
        <w:t>How verification is achieved in the method. For example, verification may be achieved through audits, models, self-verification, satellite imagery or other measurement technologies.</w:t>
      </w:r>
    </w:p>
    <w:p w14:paraId="0A71686F" w14:textId="77777777" w:rsidR="002368DE" w:rsidRPr="00047F85" w:rsidRDefault="002368DE" w:rsidP="005C1D9C">
      <w:pPr>
        <w:pStyle w:val="ERACbullets"/>
        <w:numPr>
          <w:ilvl w:val="0"/>
          <w:numId w:val="33"/>
        </w:numPr>
        <w:ind w:left="357" w:hanging="357"/>
        <w:rPr>
          <w:rFonts w:asciiTheme="minorHAnsi" w:hAnsiTheme="minorHAnsi" w:cstheme="minorHAnsi"/>
          <w:sz w:val="24"/>
          <w:szCs w:val="24"/>
        </w:rPr>
      </w:pPr>
      <w:r w:rsidRPr="00047F85">
        <w:rPr>
          <w:rFonts w:asciiTheme="minorHAnsi" w:hAnsiTheme="minorHAnsi" w:cstheme="minorHAnsi"/>
          <w:sz w:val="24"/>
          <w:szCs w:val="24"/>
        </w:rPr>
        <w:lastRenderedPageBreak/>
        <w:t>Whether and how any tools or calculators used in the method can be audited.</w:t>
      </w:r>
    </w:p>
    <w:p w14:paraId="3BC02DAF" w14:textId="40DBD0B5" w:rsidR="002368DE" w:rsidRPr="00047F85" w:rsidRDefault="002368DE" w:rsidP="005C1D9C">
      <w:pPr>
        <w:pStyle w:val="ERACbullets"/>
        <w:numPr>
          <w:ilvl w:val="0"/>
          <w:numId w:val="33"/>
        </w:numPr>
        <w:ind w:left="357" w:hanging="357"/>
        <w:rPr>
          <w:rFonts w:asciiTheme="minorHAnsi" w:hAnsiTheme="minorHAnsi" w:cstheme="minorHAnsi"/>
          <w:sz w:val="24"/>
          <w:szCs w:val="24"/>
        </w:rPr>
      </w:pPr>
      <w:r w:rsidRPr="00047F85">
        <w:rPr>
          <w:rFonts w:asciiTheme="minorHAnsi" w:hAnsiTheme="minorHAnsi" w:cstheme="minorHAnsi"/>
          <w:sz w:val="24"/>
          <w:szCs w:val="24"/>
        </w:rPr>
        <w:t>Variability in measurement and verification outcomes.</w:t>
      </w:r>
    </w:p>
    <w:p w14:paraId="56A577BA" w14:textId="60379D39" w:rsidR="002368DE" w:rsidRPr="00047F85" w:rsidRDefault="002368DE" w:rsidP="005C1D9C">
      <w:pPr>
        <w:pStyle w:val="ERACbullets"/>
        <w:numPr>
          <w:ilvl w:val="0"/>
          <w:numId w:val="33"/>
        </w:numPr>
        <w:ind w:left="357" w:hanging="357"/>
        <w:rPr>
          <w:rFonts w:asciiTheme="minorHAnsi" w:hAnsiTheme="minorHAnsi" w:cstheme="minorHAnsi"/>
          <w:sz w:val="24"/>
          <w:szCs w:val="24"/>
        </w:rPr>
      </w:pPr>
      <w:r w:rsidRPr="00047F85">
        <w:rPr>
          <w:rFonts w:asciiTheme="minorHAnsi" w:hAnsiTheme="minorHAnsi" w:cstheme="minorHAnsi"/>
          <w:sz w:val="24"/>
          <w:szCs w:val="24"/>
        </w:rPr>
        <w:t xml:space="preserve">The </w:t>
      </w:r>
      <w:r w:rsidR="001C6446" w:rsidRPr="001C6446">
        <w:rPr>
          <w:rFonts w:asciiTheme="minorHAnsi" w:hAnsiTheme="minorHAnsi" w:cstheme="minorHAnsi"/>
          <w:sz w:val="24"/>
          <w:szCs w:val="24"/>
        </w:rPr>
        <w:t>interaction</w:t>
      </w:r>
      <w:r w:rsidR="001C6446">
        <w:rPr>
          <w:rFonts w:asciiTheme="minorHAnsi" w:eastAsiaTheme="minorEastAsia" w:hAnsiTheme="minorHAnsi" w:cstheme="minorHAnsi" w:hint="eastAsia"/>
          <w:sz w:val="24"/>
          <w:szCs w:val="24"/>
          <w:lang w:eastAsia="zh-CN"/>
        </w:rPr>
        <w:t xml:space="preserve"> </w:t>
      </w:r>
      <w:r w:rsidRPr="00047F85">
        <w:rPr>
          <w:rFonts w:asciiTheme="minorHAnsi" w:hAnsiTheme="minorHAnsi" w:cstheme="minorHAnsi"/>
          <w:sz w:val="24"/>
          <w:szCs w:val="24"/>
        </w:rPr>
        <w:t>of the measurement and verification standard with:</w:t>
      </w:r>
    </w:p>
    <w:p w14:paraId="24EEFCA7" w14:textId="77777777" w:rsidR="002368DE" w:rsidRPr="00047F85" w:rsidRDefault="002368DE" w:rsidP="005C1D9C">
      <w:pPr>
        <w:pStyle w:val="ERACbullets"/>
        <w:numPr>
          <w:ilvl w:val="1"/>
          <w:numId w:val="33"/>
        </w:numPr>
        <w:rPr>
          <w:rFonts w:asciiTheme="minorHAnsi" w:hAnsiTheme="minorHAnsi" w:cstheme="minorHAnsi"/>
          <w:sz w:val="24"/>
          <w:szCs w:val="24"/>
        </w:rPr>
      </w:pPr>
      <w:r w:rsidRPr="00047F85">
        <w:rPr>
          <w:rFonts w:asciiTheme="minorHAnsi" w:hAnsiTheme="minorHAnsi" w:cstheme="minorHAnsi"/>
          <w:sz w:val="24"/>
          <w:szCs w:val="24"/>
        </w:rPr>
        <w:t xml:space="preserve">the evidence-based standard – the measurement or estimation approaches must be supported by clear and convincing evidence; </w:t>
      </w:r>
    </w:p>
    <w:p w14:paraId="7F5F6396" w14:textId="77777777" w:rsidR="002368DE" w:rsidRPr="00047F85" w:rsidRDefault="002368DE" w:rsidP="005C1D9C">
      <w:pPr>
        <w:pStyle w:val="ERACbullets"/>
        <w:numPr>
          <w:ilvl w:val="1"/>
          <w:numId w:val="33"/>
        </w:numPr>
        <w:rPr>
          <w:rFonts w:asciiTheme="minorHAnsi" w:hAnsiTheme="minorHAnsi" w:cstheme="minorHAnsi"/>
          <w:sz w:val="24"/>
          <w:szCs w:val="24"/>
        </w:rPr>
      </w:pPr>
      <w:r w:rsidRPr="00047F85">
        <w:rPr>
          <w:rFonts w:asciiTheme="minorHAnsi" w:hAnsiTheme="minorHAnsi" w:cstheme="minorHAnsi"/>
          <w:sz w:val="24"/>
          <w:szCs w:val="24"/>
        </w:rPr>
        <w:t xml:space="preserve">the project emissions standard – methods do not need to account for project emissions if they are not material; and </w:t>
      </w:r>
    </w:p>
    <w:p w14:paraId="097C784B" w14:textId="77777777" w:rsidR="002368DE" w:rsidRPr="00047F85" w:rsidRDefault="002368DE" w:rsidP="005C1D9C">
      <w:pPr>
        <w:pStyle w:val="ERACbullets"/>
        <w:numPr>
          <w:ilvl w:val="1"/>
          <w:numId w:val="33"/>
        </w:numPr>
        <w:rPr>
          <w:rFonts w:asciiTheme="minorHAnsi" w:hAnsiTheme="minorHAnsi" w:cstheme="minorHAnsi"/>
          <w:sz w:val="24"/>
          <w:szCs w:val="24"/>
        </w:rPr>
      </w:pPr>
      <w:r w:rsidRPr="00047F85">
        <w:rPr>
          <w:rFonts w:asciiTheme="minorHAnsi" w:hAnsiTheme="minorHAnsi" w:cstheme="minorHAnsi"/>
          <w:sz w:val="24"/>
          <w:szCs w:val="24"/>
        </w:rPr>
        <w:t xml:space="preserve">the conservative standard – the measurement or estimation approaches must provide conservative estimates of the abatement from eligible projects. </w:t>
      </w:r>
    </w:p>
    <w:p w14:paraId="365D1334" w14:textId="77777777" w:rsidR="002368DE" w:rsidRPr="005C1D9C" w:rsidRDefault="002368DE" w:rsidP="005C1D9C">
      <w:pPr>
        <w:pStyle w:val="30"/>
        <w:spacing w:line="276" w:lineRule="auto"/>
      </w:pPr>
      <w:bookmarkStart w:id="10" w:name="_Toc220426934"/>
      <w:r w:rsidRPr="005C1D9C">
        <w:rPr>
          <w:bCs w:val="0"/>
        </w:rPr>
        <w:t>6.3 Eligible carbon abatement</w:t>
      </w:r>
      <w:bookmarkEnd w:id="10"/>
    </w:p>
    <w:p w14:paraId="2BB68058" w14:textId="0CE5C18C" w:rsidR="002368DE" w:rsidRPr="00DB01FD" w:rsidRDefault="002368DE" w:rsidP="005C1D9C">
      <w:pPr>
        <w:spacing w:line="276" w:lineRule="auto"/>
        <w:rPr>
          <w:sz w:val="24"/>
        </w:rPr>
      </w:pPr>
      <w:r w:rsidRPr="00DB01FD">
        <w:rPr>
          <w:sz w:val="24"/>
        </w:rPr>
        <w:t xml:space="preserve">The eligible carbon abatement standard is contained in </w:t>
      </w:r>
      <w:r w:rsidR="0028235B">
        <w:rPr>
          <w:sz w:val="24"/>
        </w:rPr>
        <w:t xml:space="preserve">paragraph </w:t>
      </w:r>
      <w:proofErr w:type="gramStart"/>
      <w:r w:rsidR="0028235B">
        <w:rPr>
          <w:sz w:val="24"/>
        </w:rPr>
        <w:t>102.</w:t>
      </w:r>
      <w:r w:rsidRPr="00DB01FD">
        <w:rPr>
          <w:sz w:val="24"/>
        </w:rPr>
        <w:t>(</w:t>
      </w:r>
      <w:proofErr w:type="gramEnd"/>
      <w:r w:rsidRPr="00DB01FD">
        <w:rPr>
          <w:sz w:val="24"/>
        </w:rPr>
        <w:t>1)(c)</w:t>
      </w:r>
      <w:r w:rsidR="00DB01FD">
        <w:rPr>
          <w:rFonts w:hint="eastAsia"/>
          <w:sz w:val="24"/>
          <w:lang w:eastAsia="zh-CN"/>
        </w:rPr>
        <w:t xml:space="preserve"> </w:t>
      </w:r>
      <w:r w:rsidR="00DB01FD" w:rsidRPr="00047F85">
        <w:rPr>
          <w:sz w:val="24"/>
        </w:rPr>
        <w:t>of the Carbon Farming Standard</w:t>
      </w:r>
      <w:r w:rsidRPr="00DB01FD">
        <w:rPr>
          <w:sz w:val="24"/>
        </w:rPr>
        <w:t>, which states:</w:t>
      </w:r>
    </w:p>
    <w:p w14:paraId="13666A44" w14:textId="4F655294" w:rsidR="002368DE" w:rsidRPr="00DB01FD" w:rsidRDefault="002368DE" w:rsidP="005C1D9C">
      <w:pPr>
        <w:pStyle w:val="a"/>
        <w:numPr>
          <w:ilvl w:val="0"/>
          <w:numId w:val="0"/>
        </w:numPr>
        <w:spacing w:after="240"/>
        <w:ind w:left="738" w:hanging="18"/>
        <w:rPr>
          <w:rFonts w:asciiTheme="minorHAnsi" w:hAnsiTheme="minorHAnsi" w:cstheme="minorHAnsi"/>
          <w:i/>
          <w:sz w:val="24"/>
          <w:szCs w:val="24"/>
          <w:lang w:val="en-US"/>
        </w:rPr>
      </w:pPr>
      <w:r w:rsidRPr="00DB01FD">
        <w:rPr>
          <w:rFonts w:asciiTheme="minorHAnsi" w:hAnsiTheme="minorHAnsi" w:cstheme="minorHAnsi"/>
          <w:i/>
          <w:sz w:val="24"/>
          <w:szCs w:val="24"/>
        </w:rPr>
        <w:t xml:space="preserve">a method specified in, or ascertained in accordance with, a methodology determination in accordance with </w:t>
      </w:r>
      <w:r w:rsidR="0028235B">
        <w:rPr>
          <w:rFonts w:asciiTheme="minorHAnsi" w:hAnsiTheme="minorHAnsi" w:cstheme="minorHAnsi"/>
          <w:i/>
          <w:sz w:val="24"/>
          <w:szCs w:val="24"/>
        </w:rPr>
        <w:t xml:space="preserve">paragraph </w:t>
      </w:r>
      <w:proofErr w:type="gramStart"/>
      <w:r w:rsidR="0028235B">
        <w:rPr>
          <w:rFonts w:asciiTheme="minorHAnsi" w:hAnsiTheme="minorHAnsi" w:cstheme="minorHAnsi"/>
          <w:i/>
          <w:sz w:val="24"/>
          <w:szCs w:val="24"/>
        </w:rPr>
        <w:t>90.</w:t>
      </w:r>
      <w:r w:rsidRPr="00DB01FD">
        <w:rPr>
          <w:rFonts w:asciiTheme="minorHAnsi" w:hAnsiTheme="minorHAnsi" w:cstheme="minorHAnsi"/>
          <w:i/>
          <w:sz w:val="24"/>
          <w:szCs w:val="24"/>
        </w:rPr>
        <w:t>(</w:t>
      </w:r>
      <w:proofErr w:type="gramEnd"/>
      <w:r w:rsidRPr="00DB01FD">
        <w:rPr>
          <w:rFonts w:asciiTheme="minorHAnsi" w:hAnsiTheme="minorHAnsi" w:cstheme="minorHAnsi"/>
          <w:i/>
          <w:sz w:val="24"/>
          <w:szCs w:val="24"/>
        </w:rPr>
        <w:t>1)(c)</w:t>
      </w:r>
      <w:r w:rsidR="00DB01FD" w:rsidRPr="00DB01FD">
        <w:rPr>
          <w:rFonts w:asciiTheme="minorHAnsi" w:eastAsiaTheme="minorEastAsia" w:hAnsiTheme="minorHAnsi" w:cstheme="minorHAnsi"/>
          <w:i/>
          <w:sz w:val="24"/>
          <w:szCs w:val="24"/>
          <w:lang w:eastAsia="zh-CN"/>
        </w:rPr>
        <w:t xml:space="preserve"> </w:t>
      </w:r>
      <w:r w:rsidR="00DB01FD" w:rsidRPr="00DB01FD">
        <w:rPr>
          <w:rFonts w:asciiTheme="minorHAnsi" w:hAnsiTheme="minorHAnsi" w:cstheme="minorHAnsi"/>
          <w:i/>
          <w:sz w:val="24"/>
          <w:szCs w:val="24"/>
        </w:rPr>
        <w:t>of the Carbon Farming Standard</w:t>
      </w:r>
      <w:r w:rsidRPr="00DB01FD">
        <w:rPr>
          <w:rFonts w:asciiTheme="minorHAnsi" w:hAnsiTheme="minorHAnsi" w:cstheme="minorHAnsi"/>
          <w:i/>
          <w:sz w:val="24"/>
          <w:szCs w:val="24"/>
        </w:rPr>
        <w:t xml:space="preserve"> should provide that carbon abatement used in ascertaining the carbon dioxide equivalent net abatement amount for a project must be eligible carbon abatement from the project.</w:t>
      </w:r>
    </w:p>
    <w:p w14:paraId="5B077251" w14:textId="77777777" w:rsidR="002368DE" w:rsidRPr="00DB01FD" w:rsidRDefault="002368DE" w:rsidP="005C1D9C">
      <w:pPr>
        <w:spacing w:line="276" w:lineRule="auto"/>
        <w:rPr>
          <w:sz w:val="24"/>
        </w:rPr>
      </w:pPr>
      <w:r w:rsidRPr="00DB01FD">
        <w:rPr>
          <w:sz w:val="24"/>
        </w:rPr>
        <w:t xml:space="preserve">‘Eligible carbon abatement’ is defined for these purposes as: </w:t>
      </w:r>
    </w:p>
    <w:p w14:paraId="47B96F6F" w14:textId="77777777" w:rsidR="002368DE" w:rsidRPr="00DB01FD" w:rsidRDefault="002368DE" w:rsidP="005C1D9C">
      <w:pPr>
        <w:pStyle w:val="Default"/>
        <w:spacing w:after="240" w:line="276" w:lineRule="auto"/>
        <w:ind w:left="720"/>
        <w:rPr>
          <w:rFonts w:asciiTheme="minorHAnsi" w:hAnsiTheme="minorHAnsi" w:cstheme="minorHAnsi"/>
          <w:i/>
          <w:color w:val="auto"/>
          <w:lang w:eastAsia="en-US"/>
        </w:rPr>
      </w:pPr>
      <w:r w:rsidRPr="00DB01FD">
        <w:rPr>
          <w:rFonts w:asciiTheme="minorHAnsi" w:hAnsiTheme="minorHAnsi" w:cstheme="minorHAnsi"/>
          <w:i/>
          <w:color w:val="auto"/>
          <w:lang w:eastAsia="en-US"/>
        </w:rPr>
        <w:t xml:space="preserve">… carbon abatement that: </w:t>
      </w:r>
    </w:p>
    <w:p w14:paraId="2FF4BF48" w14:textId="77777777" w:rsidR="002368DE" w:rsidRPr="00DB01FD" w:rsidRDefault="002368DE" w:rsidP="005C1D9C">
      <w:pPr>
        <w:pStyle w:val="Default"/>
        <w:numPr>
          <w:ilvl w:val="0"/>
          <w:numId w:val="36"/>
        </w:numPr>
        <w:spacing w:after="240" w:line="276" w:lineRule="auto"/>
        <w:rPr>
          <w:rFonts w:asciiTheme="minorHAnsi" w:hAnsiTheme="minorHAnsi" w:cstheme="minorHAnsi"/>
          <w:i/>
          <w:color w:val="auto"/>
          <w:lang w:eastAsia="en-US"/>
        </w:rPr>
      </w:pPr>
      <w:r w:rsidRPr="00DB01FD">
        <w:rPr>
          <w:rFonts w:asciiTheme="minorHAnsi" w:hAnsiTheme="minorHAnsi" w:cstheme="minorHAnsi"/>
          <w:i/>
          <w:color w:val="auto"/>
          <w:lang w:eastAsia="en-US"/>
        </w:rPr>
        <w:t xml:space="preserve">results from the carrying out of the project; and </w:t>
      </w:r>
    </w:p>
    <w:p w14:paraId="5B5AEB58" w14:textId="077B0A83" w:rsidR="002368DE" w:rsidRPr="00DB01FD" w:rsidRDefault="00572617" w:rsidP="005C1D9C">
      <w:pPr>
        <w:pStyle w:val="Default"/>
        <w:numPr>
          <w:ilvl w:val="0"/>
          <w:numId w:val="36"/>
        </w:numPr>
        <w:spacing w:after="240" w:line="276" w:lineRule="auto"/>
        <w:rPr>
          <w:rFonts w:asciiTheme="minorHAnsi" w:hAnsiTheme="minorHAnsi" w:cstheme="minorHAnsi"/>
          <w:i/>
          <w:color w:val="auto"/>
          <w:lang w:eastAsia="en-US"/>
        </w:rPr>
      </w:pPr>
      <w:r w:rsidRPr="00572617">
        <w:rPr>
          <w:rFonts w:asciiTheme="minorHAnsi" w:hAnsiTheme="minorHAnsi" w:cstheme="minorHAnsi"/>
          <w:i/>
          <w:color w:val="auto"/>
          <w:lang w:eastAsia="en-US"/>
        </w:rPr>
        <w:t xml:space="preserve">can be used to meet </w:t>
      </w:r>
      <w:r w:rsidR="0028235B">
        <w:rPr>
          <w:rFonts w:asciiTheme="minorHAnsi" w:eastAsiaTheme="minorEastAsia" w:hAnsiTheme="minorHAnsi" w:cstheme="minorHAnsi" w:hint="eastAsia"/>
          <w:i/>
          <w:color w:val="auto"/>
          <w:lang w:eastAsia="zh-CN"/>
        </w:rPr>
        <w:t>Governments</w:t>
      </w:r>
      <w:r w:rsidR="0028235B">
        <w:rPr>
          <w:rFonts w:asciiTheme="minorHAnsi" w:eastAsiaTheme="minorEastAsia" w:hAnsiTheme="minorHAnsi" w:cstheme="minorHAnsi"/>
          <w:i/>
          <w:color w:val="auto"/>
          <w:lang w:eastAsia="zh-CN"/>
        </w:rPr>
        <w:t>’</w:t>
      </w:r>
      <w:r w:rsidR="0028235B">
        <w:rPr>
          <w:rFonts w:asciiTheme="minorHAnsi" w:eastAsiaTheme="minorEastAsia" w:hAnsiTheme="minorHAnsi" w:cstheme="minorHAnsi" w:hint="eastAsia"/>
          <w:i/>
          <w:color w:val="auto"/>
          <w:lang w:eastAsia="zh-CN"/>
        </w:rPr>
        <w:t xml:space="preserve">s </w:t>
      </w:r>
      <w:r w:rsidRPr="00572617">
        <w:rPr>
          <w:rFonts w:asciiTheme="minorHAnsi" w:hAnsiTheme="minorHAnsi" w:cstheme="minorHAnsi"/>
          <w:i/>
          <w:color w:val="auto"/>
          <w:lang w:eastAsia="en-US"/>
        </w:rPr>
        <w:t>climate change targets under</w:t>
      </w:r>
      <w:r w:rsidR="002368DE" w:rsidRPr="00DB01FD">
        <w:rPr>
          <w:rFonts w:asciiTheme="minorHAnsi" w:hAnsiTheme="minorHAnsi" w:cstheme="minorHAnsi"/>
          <w:i/>
          <w:color w:val="auto"/>
          <w:lang w:eastAsia="en-US"/>
        </w:rPr>
        <w:t xml:space="preserve">: </w:t>
      </w:r>
    </w:p>
    <w:p w14:paraId="4A038608" w14:textId="77777777" w:rsidR="002368DE" w:rsidRPr="00004124" w:rsidRDefault="002368DE" w:rsidP="005C1D9C">
      <w:pPr>
        <w:pStyle w:val="Default"/>
        <w:numPr>
          <w:ilvl w:val="0"/>
          <w:numId w:val="37"/>
        </w:numPr>
        <w:spacing w:after="240" w:line="276" w:lineRule="auto"/>
        <w:rPr>
          <w:rFonts w:asciiTheme="minorHAnsi" w:hAnsiTheme="minorHAnsi" w:cstheme="minorHAnsi"/>
          <w:i/>
          <w:color w:val="auto"/>
          <w:lang w:eastAsia="en-US"/>
        </w:rPr>
      </w:pPr>
      <w:r w:rsidRPr="00DB01FD">
        <w:rPr>
          <w:rFonts w:asciiTheme="minorHAnsi" w:hAnsiTheme="minorHAnsi" w:cstheme="minorHAnsi"/>
          <w:i/>
          <w:color w:val="auto"/>
          <w:lang w:eastAsia="en-US"/>
        </w:rPr>
        <w:t xml:space="preserve">the Kyoto Protocol; or </w:t>
      </w:r>
    </w:p>
    <w:p w14:paraId="60BDA585" w14:textId="1D0657F3" w:rsidR="00004124" w:rsidRPr="00DB01FD" w:rsidRDefault="00004124" w:rsidP="005C1D9C">
      <w:pPr>
        <w:pStyle w:val="Default"/>
        <w:numPr>
          <w:ilvl w:val="0"/>
          <w:numId w:val="37"/>
        </w:numPr>
        <w:spacing w:after="240" w:line="276" w:lineRule="auto"/>
        <w:rPr>
          <w:rFonts w:asciiTheme="minorHAnsi" w:hAnsiTheme="minorHAnsi" w:cstheme="minorHAnsi"/>
          <w:i/>
          <w:color w:val="auto"/>
          <w:lang w:eastAsia="en-US"/>
        </w:rPr>
      </w:pPr>
      <w:r>
        <w:rPr>
          <w:rFonts w:asciiTheme="minorHAnsi" w:eastAsiaTheme="minorEastAsia" w:hAnsiTheme="minorHAnsi" w:cstheme="minorHAnsi" w:hint="eastAsia"/>
          <w:i/>
          <w:color w:val="auto"/>
          <w:lang w:eastAsia="zh-CN"/>
        </w:rPr>
        <w:t xml:space="preserve">the </w:t>
      </w:r>
      <w:r w:rsidRPr="00004124">
        <w:rPr>
          <w:rFonts w:asciiTheme="minorHAnsi" w:eastAsiaTheme="minorEastAsia" w:hAnsiTheme="minorHAnsi" w:cstheme="minorHAnsi"/>
          <w:i/>
          <w:color w:val="auto"/>
          <w:lang w:eastAsia="zh-CN"/>
        </w:rPr>
        <w:t>Paris Agreement</w:t>
      </w:r>
      <w:r>
        <w:rPr>
          <w:rFonts w:asciiTheme="minorHAnsi" w:eastAsiaTheme="minorEastAsia" w:hAnsiTheme="minorHAnsi" w:cstheme="minorHAnsi" w:hint="eastAsia"/>
          <w:i/>
          <w:color w:val="auto"/>
          <w:lang w:eastAsia="zh-CN"/>
        </w:rPr>
        <w:t>; or</w:t>
      </w:r>
    </w:p>
    <w:p w14:paraId="0439AC70" w14:textId="5EF5CEE6" w:rsidR="002368DE" w:rsidRPr="00DB01FD" w:rsidRDefault="00004124" w:rsidP="005C1D9C">
      <w:pPr>
        <w:pStyle w:val="Default"/>
        <w:numPr>
          <w:ilvl w:val="0"/>
          <w:numId w:val="37"/>
        </w:numPr>
        <w:spacing w:after="240" w:line="276" w:lineRule="auto"/>
        <w:rPr>
          <w:rFonts w:asciiTheme="minorHAnsi" w:hAnsiTheme="minorHAnsi" w:cstheme="minorHAnsi"/>
          <w:i/>
          <w:color w:val="auto"/>
          <w:lang w:eastAsia="en-US"/>
        </w:rPr>
      </w:pPr>
      <w:r>
        <w:rPr>
          <w:rFonts w:asciiTheme="minorHAnsi" w:eastAsiaTheme="minorEastAsia" w:hAnsiTheme="minorHAnsi" w:cstheme="minorHAnsi" w:hint="eastAsia"/>
          <w:i/>
          <w:color w:val="auto"/>
          <w:lang w:eastAsia="zh-CN"/>
        </w:rPr>
        <w:t>any other</w:t>
      </w:r>
      <w:r w:rsidR="002368DE" w:rsidRPr="00DB01FD">
        <w:rPr>
          <w:rFonts w:asciiTheme="minorHAnsi" w:hAnsiTheme="minorHAnsi" w:cstheme="minorHAnsi"/>
          <w:i/>
          <w:color w:val="auto"/>
          <w:lang w:eastAsia="en-US"/>
        </w:rPr>
        <w:t xml:space="preserve"> international agreement</w:t>
      </w:r>
      <w:r>
        <w:rPr>
          <w:rFonts w:asciiTheme="minorHAnsi" w:eastAsiaTheme="minorEastAsia" w:hAnsiTheme="minorHAnsi" w:cstheme="minorHAnsi" w:hint="eastAsia"/>
          <w:i/>
          <w:color w:val="auto"/>
          <w:lang w:eastAsia="zh-CN"/>
        </w:rPr>
        <w:t xml:space="preserve"> or initiative</w:t>
      </w:r>
      <w:r w:rsidR="002368DE" w:rsidRPr="00DB01FD">
        <w:rPr>
          <w:rFonts w:asciiTheme="minorHAnsi" w:hAnsiTheme="minorHAnsi" w:cstheme="minorHAnsi"/>
          <w:i/>
          <w:color w:val="auto"/>
          <w:lang w:eastAsia="en-US"/>
        </w:rPr>
        <w:t>.</w:t>
      </w:r>
    </w:p>
    <w:p w14:paraId="3398FBC3" w14:textId="1D22C2BE" w:rsidR="002368DE" w:rsidRPr="00DB01FD" w:rsidRDefault="00004124" w:rsidP="005C1D9C">
      <w:pPr>
        <w:spacing w:line="276" w:lineRule="auto"/>
        <w:rPr>
          <w:color w:val="auto"/>
          <w:sz w:val="24"/>
        </w:rPr>
      </w:pPr>
      <w:r w:rsidRPr="00004124">
        <w:rPr>
          <w:sz w:val="24"/>
        </w:rPr>
        <w:t>The eligible carbon abatement standard requires that methods only credit abatement that</w:t>
      </w:r>
      <w:r w:rsidR="002368DE" w:rsidRPr="00DB01FD">
        <w:rPr>
          <w:sz w:val="24"/>
        </w:rPr>
        <w:t xml:space="preserve">: </w:t>
      </w:r>
    </w:p>
    <w:p w14:paraId="0EFF2EBA" w14:textId="77777777" w:rsidR="002368DE" w:rsidRPr="00DB01FD" w:rsidRDefault="002368DE" w:rsidP="005C1D9C">
      <w:pPr>
        <w:pStyle w:val="ERACbullets"/>
        <w:numPr>
          <w:ilvl w:val="0"/>
          <w:numId w:val="33"/>
        </w:numPr>
        <w:ind w:left="357" w:hanging="357"/>
        <w:rPr>
          <w:rFonts w:asciiTheme="minorHAnsi" w:hAnsiTheme="minorHAnsi" w:cstheme="minorHAnsi"/>
          <w:sz w:val="24"/>
          <w:szCs w:val="24"/>
        </w:rPr>
      </w:pPr>
      <w:r w:rsidRPr="00DB01FD">
        <w:rPr>
          <w:rFonts w:asciiTheme="minorHAnsi" w:hAnsiTheme="minorHAnsi" w:cstheme="minorHAnsi"/>
          <w:sz w:val="24"/>
          <w:szCs w:val="24"/>
        </w:rPr>
        <w:t xml:space="preserve">results from the project; and </w:t>
      </w:r>
    </w:p>
    <w:p w14:paraId="6EB0429A" w14:textId="2B3E0760" w:rsidR="002368DE" w:rsidRPr="00DB01FD" w:rsidRDefault="00572617" w:rsidP="005C1D9C">
      <w:pPr>
        <w:pStyle w:val="ERACbullets"/>
        <w:numPr>
          <w:ilvl w:val="0"/>
          <w:numId w:val="33"/>
        </w:numPr>
        <w:ind w:left="357" w:hanging="357"/>
        <w:rPr>
          <w:rFonts w:asciiTheme="minorHAnsi" w:hAnsiTheme="minorHAnsi" w:cstheme="minorHAnsi"/>
          <w:sz w:val="24"/>
          <w:szCs w:val="24"/>
        </w:rPr>
      </w:pPr>
      <w:r w:rsidRPr="00572617">
        <w:rPr>
          <w:rFonts w:asciiTheme="minorHAnsi" w:hAnsiTheme="minorHAnsi" w:cstheme="minorHAnsi"/>
          <w:sz w:val="24"/>
          <w:szCs w:val="24"/>
        </w:rPr>
        <w:t>is capable of being used to meet targets under the Kyoto Protocol or the Paris Agreement</w:t>
      </w:r>
      <w:r w:rsidR="002368DE" w:rsidRPr="00DB01FD">
        <w:rPr>
          <w:rFonts w:asciiTheme="minorHAnsi" w:hAnsiTheme="minorHAnsi" w:cstheme="minorHAnsi"/>
          <w:sz w:val="24"/>
          <w:szCs w:val="24"/>
        </w:rPr>
        <w:t>.</w:t>
      </w:r>
    </w:p>
    <w:p w14:paraId="61F11778" w14:textId="75D2440F" w:rsidR="002368DE" w:rsidRPr="00DB01FD" w:rsidRDefault="00004124" w:rsidP="005C1D9C">
      <w:pPr>
        <w:spacing w:line="276" w:lineRule="auto"/>
        <w:rPr>
          <w:sz w:val="24"/>
        </w:rPr>
      </w:pPr>
      <w:r w:rsidRPr="00004124">
        <w:rPr>
          <w:sz w:val="24"/>
        </w:rPr>
        <w:t>The eligible carbon abatement standard does not require the National Inventory Report to account for the emissions or removals covered by the method. The abatement must only be capable of being used to meet mitigation targets under the Kyoto Protocol and Paris Agreement</w:t>
      </w:r>
      <w:r w:rsidR="002368DE" w:rsidRPr="00DB01FD">
        <w:rPr>
          <w:sz w:val="24"/>
        </w:rPr>
        <w:t>.</w:t>
      </w:r>
      <w:r w:rsidR="002368DE" w:rsidRPr="00DB01FD">
        <w:rPr>
          <w:color w:val="333333"/>
          <w:sz w:val="24"/>
          <w:shd w:val="clear" w:color="auto" w:fill="FFFFFF"/>
        </w:rPr>
        <w:t xml:space="preserve"> </w:t>
      </w:r>
    </w:p>
    <w:p w14:paraId="791E4BA1" w14:textId="48B29590" w:rsidR="002368DE" w:rsidRPr="00DB01FD" w:rsidRDefault="00004124" w:rsidP="005C1D9C">
      <w:pPr>
        <w:spacing w:line="276" w:lineRule="auto"/>
        <w:rPr>
          <w:sz w:val="24"/>
        </w:rPr>
      </w:pPr>
      <w:r w:rsidRPr="00004124">
        <w:rPr>
          <w:sz w:val="24"/>
        </w:rPr>
        <w:lastRenderedPageBreak/>
        <w:t xml:space="preserve">The Carbon Farming Standard requires one of the members of </w:t>
      </w:r>
      <w:r w:rsidR="008E2AC3">
        <w:rPr>
          <w:sz w:val="24"/>
        </w:rPr>
        <w:t>the TAC</w:t>
      </w:r>
      <w:r w:rsidRPr="00004124">
        <w:rPr>
          <w:sz w:val="24"/>
        </w:rPr>
        <w:t xml:space="preserve"> to be from the Secretary. Under section 94.C, if the Secretary member advises that the carbon abatement under a proposed method or variation is not (or would not be) eligible, the method must be assumed not to satisfy the eligible carbon abatement standard</w:t>
      </w:r>
      <w:r w:rsidR="002368DE" w:rsidRPr="00DB01FD">
        <w:rPr>
          <w:sz w:val="24"/>
        </w:rPr>
        <w:t>.</w:t>
      </w:r>
    </w:p>
    <w:p w14:paraId="709F7F01" w14:textId="77777777" w:rsidR="002368DE" w:rsidRPr="005C1D9C" w:rsidRDefault="002368DE" w:rsidP="005C1D9C">
      <w:pPr>
        <w:pStyle w:val="30"/>
        <w:spacing w:line="276" w:lineRule="auto"/>
      </w:pPr>
      <w:bookmarkStart w:id="11" w:name="_Toc220426935"/>
      <w:r w:rsidRPr="005C1D9C">
        <w:rPr>
          <w:bCs w:val="0"/>
        </w:rPr>
        <w:t>6.4 Evidence-based</w:t>
      </w:r>
      <w:bookmarkEnd w:id="11"/>
    </w:p>
    <w:p w14:paraId="31D84286" w14:textId="367E433B" w:rsidR="002368DE" w:rsidRPr="00303563" w:rsidRDefault="002368DE" w:rsidP="005C1D9C">
      <w:pPr>
        <w:autoSpaceDE w:val="0"/>
        <w:autoSpaceDN w:val="0"/>
        <w:adjustRightInd w:val="0"/>
        <w:spacing w:before="120" w:after="120" w:line="276" w:lineRule="auto"/>
        <w:rPr>
          <w:sz w:val="24"/>
        </w:rPr>
      </w:pPr>
      <w:r w:rsidRPr="00303563">
        <w:rPr>
          <w:sz w:val="24"/>
        </w:rPr>
        <w:t xml:space="preserve">The evidence-based standard is contained in </w:t>
      </w:r>
      <w:r w:rsidR="0028235B">
        <w:rPr>
          <w:sz w:val="24"/>
        </w:rPr>
        <w:t xml:space="preserve">paragraph </w:t>
      </w:r>
      <w:proofErr w:type="gramStart"/>
      <w:r w:rsidR="0028235B">
        <w:rPr>
          <w:sz w:val="24"/>
        </w:rPr>
        <w:t>102.</w:t>
      </w:r>
      <w:r w:rsidRPr="00303563">
        <w:rPr>
          <w:sz w:val="24"/>
        </w:rPr>
        <w:t>(</w:t>
      </w:r>
      <w:proofErr w:type="gramEnd"/>
      <w:r w:rsidRPr="00303563">
        <w:rPr>
          <w:sz w:val="24"/>
        </w:rPr>
        <w:t xml:space="preserve">1)(d) of </w:t>
      </w:r>
      <w:r w:rsidR="000F2F61" w:rsidRPr="00303563">
        <w:rPr>
          <w:sz w:val="24"/>
        </w:rPr>
        <w:t>the Carbon Farming Standard</w:t>
      </w:r>
      <w:r w:rsidRPr="00303563">
        <w:rPr>
          <w:sz w:val="24"/>
        </w:rPr>
        <w:t>, which states:</w:t>
      </w:r>
    </w:p>
    <w:p w14:paraId="507CDD94" w14:textId="7CCDEFAA" w:rsidR="002368DE" w:rsidRPr="00303563" w:rsidRDefault="002368DE" w:rsidP="005C1D9C">
      <w:pPr>
        <w:pStyle w:val="a"/>
        <w:numPr>
          <w:ilvl w:val="0"/>
          <w:numId w:val="0"/>
        </w:numPr>
        <w:spacing w:after="120"/>
        <w:ind w:left="738" w:hanging="18"/>
        <w:rPr>
          <w:rFonts w:asciiTheme="minorHAnsi" w:hAnsiTheme="minorHAnsi" w:cstheme="minorHAnsi"/>
          <w:i/>
          <w:sz w:val="24"/>
          <w:szCs w:val="24"/>
          <w:lang w:val="en-US"/>
        </w:rPr>
      </w:pPr>
      <w:r w:rsidRPr="00303563">
        <w:rPr>
          <w:rFonts w:asciiTheme="minorHAnsi" w:hAnsiTheme="minorHAnsi" w:cstheme="minorHAnsi"/>
          <w:i/>
          <w:sz w:val="24"/>
          <w:szCs w:val="24"/>
        </w:rPr>
        <w:t xml:space="preserve">a method specified in, or ascertained in accordance with, a methodology determination in accordance with </w:t>
      </w:r>
      <w:r w:rsidR="0028235B">
        <w:rPr>
          <w:rFonts w:asciiTheme="minorHAnsi" w:hAnsiTheme="minorHAnsi" w:cstheme="minorHAnsi"/>
          <w:i/>
          <w:sz w:val="24"/>
          <w:szCs w:val="24"/>
        </w:rPr>
        <w:t xml:space="preserve">paragraph </w:t>
      </w:r>
      <w:proofErr w:type="gramStart"/>
      <w:r w:rsidR="0028235B">
        <w:rPr>
          <w:rFonts w:asciiTheme="minorHAnsi" w:hAnsiTheme="minorHAnsi" w:cstheme="minorHAnsi"/>
          <w:i/>
          <w:sz w:val="24"/>
          <w:szCs w:val="24"/>
        </w:rPr>
        <w:t>90.</w:t>
      </w:r>
      <w:r w:rsidRPr="00303563">
        <w:rPr>
          <w:rFonts w:asciiTheme="minorHAnsi" w:hAnsiTheme="minorHAnsi" w:cstheme="minorHAnsi"/>
          <w:i/>
          <w:sz w:val="24"/>
          <w:szCs w:val="24"/>
        </w:rPr>
        <w:t>(</w:t>
      </w:r>
      <w:proofErr w:type="gramEnd"/>
      <w:r w:rsidRPr="00303563">
        <w:rPr>
          <w:rFonts w:asciiTheme="minorHAnsi" w:hAnsiTheme="minorHAnsi" w:cstheme="minorHAnsi"/>
          <w:i/>
          <w:sz w:val="24"/>
          <w:szCs w:val="24"/>
        </w:rPr>
        <w:t xml:space="preserve">1)(c) </w:t>
      </w:r>
      <w:r w:rsidR="00285D10" w:rsidRPr="00303563">
        <w:rPr>
          <w:rFonts w:asciiTheme="minorHAnsi" w:hAnsiTheme="minorHAnsi" w:cstheme="minorHAnsi"/>
          <w:i/>
          <w:sz w:val="24"/>
          <w:szCs w:val="24"/>
        </w:rPr>
        <w:t xml:space="preserve">of the Carbon Farming Standard </w:t>
      </w:r>
      <w:r w:rsidRPr="00303563">
        <w:rPr>
          <w:rFonts w:asciiTheme="minorHAnsi" w:hAnsiTheme="minorHAnsi" w:cstheme="minorHAnsi"/>
          <w:i/>
          <w:sz w:val="24"/>
          <w:szCs w:val="24"/>
        </w:rPr>
        <w:t>should be supported by clear and convincing evidence.</w:t>
      </w:r>
    </w:p>
    <w:p w14:paraId="614D5ADE" w14:textId="01C6E1AB" w:rsidR="002368DE" w:rsidRPr="00303563" w:rsidRDefault="00CB34F3" w:rsidP="005C1D9C">
      <w:pPr>
        <w:autoSpaceDE w:val="0"/>
        <w:autoSpaceDN w:val="0"/>
        <w:adjustRightInd w:val="0"/>
        <w:spacing w:before="120" w:after="120" w:line="276" w:lineRule="auto"/>
        <w:rPr>
          <w:sz w:val="24"/>
        </w:rPr>
      </w:pPr>
      <w:r w:rsidRPr="00CB34F3">
        <w:rPr>
          <w:sz w:val="24"/>
        </w:rPr>
        <w:t>Clear and convincing evidence must demonstrate</w:t>
      </w:r>
      <w:r w:rsidR="002368DE" w:rsidRPr="00303563">
        <w:rPr>
          <w:sz w:val="24"/>
        </w:rPr>
        <w:t xml:space="preserve">: </w:t>
      </w:r>
    </w:p>
    <w:p w14:paraId="6FA3EA43" w14:textId="5C0F30C6" w:rsidR="002368DE" w:rsidRPr="00303563" w:rsidRDefault="002368DE" w:rsidP="005C1D9C">
      <w:pPr>
        <w:pStyle w:val="ERACbullets"/>
        <w:numPr>
          <w:ilvl w:val="0"/>
          <w:numId w:val="33"/>
        </w:numPr>
        <w:ind w:left="357" w:hanging="357"/>
        <w:rPr>
          <w:rFonts w:asciiTheme="minorHAnsi" w:hAnsiTheme="minorHAnsi" w:cstheme="minorHAnsi"/>
          <w:sz w:val="24"/>
          <w:szCs w:val="24"/>
        </w:rPr>
      </w:pPr>
      <w:r w:rsidRPr="00303563">
        <w:rPr>
          <w:rFonts w:asciiTheme="minorHAnsi" w:hAnsiTheme="minorHAnsi" w:cstheme="minorHAnsi"/>
          <w:sz w:val="24"/>
          <w:szCs w:val="24"/>
        </w:rPr>
        <w:t>the impact of the abatement activity on emissions and removals (</w:t>
      </w:r>
      <w:r w:rsidR="000F2F61" w:rsidRPr="00303563">
        <w:rPr>
          <w:rFonts w:asciiTheme="minorHAnsi" w:hAnsiTheme="minorHAnsi" w:cstheme="minorHAnsi"/>
          <w:sz w:val="24"/>
          <w:szCs w:val="24"/>
        </w:rPr>
        <w:t xml:space="preserve">the </w:t>
      </w:r>
      <w:r w:rsidR="00285D10" w:rsidRPr="00303563">
        <w:rPr>
          <w:rFonts w:asciiTheme="minorHAnsi" w:hAnsiTheme="minorHAnsi" w:cstheme="minorHAnsi"/>
          <w:sz w:val="24"/>
          <w:szCs w:val="24"/>
        </w:rPr>
        <w:t>activity</w:t>
      </w:r>
      <w:r w:rsidR="00285D10" w:rsidRPr="00303563">
        <w:rPr>
          <w:rFonts w:asciiTheme="minorHAnsi" w:eastAsiaTheme="minorEastAsia" w:hAnsiTheme="minorHAnsi" w:cstheme="minorHAnsi" w:hint="eastAsia"/>
          <w:sz w:val="24"/>
          <w:szCs w:val="24"/>
          <w:lang w:eastAsia="zh-CN"/>
        </w:rPr>
        <w:t xml:space="preserve"> </w:t>
      </w:r>
      <w:r w:rsidRPr="00303563">
        <w:rPr>
          <w:rFonts w:asciiTheme="minorHAnsi" w:hAnsiTheme="minorHAnsi" w:cstheme="minorHAnsi"/>
          <w:sz w:val="24"/>
          <w:szCs w:val="24"/>
        </w:rPr>
        <w:t>incentivised under the method must be capable of reducing emissions or increasing removals relative to what would have occurred without the incentive provided by the scheme);</w:t>
      </w:r>
    </w:p>
    <w:p w14:paraId="7E5EF097" w14:textId="77777777" w:rsidR="002368DE" w:rsidRPr="00303563" w:rsidRDefault="002368DE" w:rsidP="005C1D9C">
      <w:pPr>
        <w:pStyle w:val="ERACbullets"/>
        <w:numPr>
          <w:ilvl w:val="0"/>
          <w:numId w:val="33"/>
        </w:numPr>
        <w:ind w:left="357" w:hanging="357"/>
        <w:rPr>
          <w:rFonts w:asciiTheme="minorHAnsi" w:hAnsiTheme="minorHAnsi" w:cstheme="minorHAnsi"/>
          <w:sz w:val="24"/>
          <w:szCs w:val="24"/>
        </w:rPr>
      </w:pPr>
      <w:r w:rsidRPr="00303563">
        <w:rPr>
          <w:rFonts w:asciiTheme="minorHAnsi" w:hAnsiTheme="minorHAnsi" w:cstheme="minorHAnsi"/>
          <w:sz w:val="24"/>
          <w:szCs w:val="24"/>
        </w:rPr>
        <w:t>the robustness of the approach to the exclusion of non-additional projects and non-additional abatement;</w:t>
      </w:r>
    </w:p>
    <w:p w14:paraId="1B40D28F" w14:textId="77777777" w:rsidR="002368DE" w:rsidRPr="00303563" w:rsidRDefault="002368DE" w:rsidP="005C1D9C">
      <w:pPr>
        <w:pStyle w:val="ERACbullets"/>
        <w:numPr>
          <w:ilvl w:val="0"/>
          <w:numId w:val="33"/>
        </w:numPr>
        <w:ind w:left="357" w:hanging="357"/>
        <w:rPr>
          <w:rFonts w:asciiTheme="minorHAnsi" w:hAnsiTheme="minorHAnsi" w:cstheme="minorHAnsi"/>
          <w:sz w:val="24"/>
          <w:szCs w:val="24"/>
        </w:rPr>
      </w:pPr>
      <w:r w:rsidRPr="00303563">
        <w:rPr>
          <w:rFonts w:asciiTheme="minorHAnsi" w:hAnsiTheme="minorHAnsi" w:cstheme="minorHAnsi"/>
          <w:sz w:val="24"/>
          <w:szCs w:val="24"/>
        </w:rPr>
        <w:t>the robustness of the approach to measurement and verification; and</w:t>
      </w:r>
    </w:p>
    <w:p w14:paraId="20DA7B9D" w14:textId="77777777" w:rsidR="002368DE" w:rsidRPr="00303563" w:rsidRDefault="002368DE" w:rsidP="005C1D9C">
      <w:pPr>
        <w:pStyle w:val="ERACbullets"/>
        <w:numPr>
          <w:ilvl w:val="0"/>
          <w:numId w:val="33"/>
        </w:numPr>
        <w:ind w:left="357" w:hanging="357"/>
        <w:rPr>
          <w:rFonts w:asciiTheme="minorHAnsi" w:hAnsiTheme="minorHAnsi" w:cstheme="minorHAnsi"/>
          <w:sz w:val="24"/>
          <w:szCs w:val="24"/>
        </w:rPr>
      </w:pPr>
      <w:r w:rsidRPr="00303563">
        <w:rPr>
          <w:rFonts w:asciiTheme="minorHAnsi" w:hAnsiTheme="minorHAnsi" w:cstheme="minorHAnsi"/>
          <w:sz w:val="24"/>
          <w:szCs w:val="24"/>
        </w:rPr>
        <w:t xml:space="preserve">the robustness of the approach to the treatment of project emissions and leakage (see below). </w:t>
      </w:r>
    </w:p>
    <w:p w14:paraId="78C4EA55" w14:textId="33EA4E44" w:rsidR="002368DE" w:rsidRPr="00303563" w:rsidRDefault="00CB34F3" w:rsidP="005C1D9C">
      <w:pPr>
        <w:autoSpaceDE w:val="0"/>
        <w:autoSpaceDN w:val="0"/>
        <w:adjustRightInd w:val="0"/>
        <w:spacing w:before="120" w:after="120" w:line="276" w:lineRule="auto"/>
        <w:rPr>
          <w:sz w:val="24"/>
        </w:rPr>
      </w:pPr>
      <w:r w:rsidRPr="00CB34F3">
        <w:rPr>
          <w:sz w:val="24"/>
        </w:rPr>
        <w:t>Applying the evidence-based standard to additionality, which involves counterfactuals, is inherently challenging because counterfactuals cannot be proven or disproven. There can be no clear and convincing evidence of their validity, only an assessment of whether they are reasonable. Accordingly, methods addressing additionality and abatement must adopt robust approaches, taking into account known trends and drivers of emissions and removals from relevant sources and sinks</w:t>
      </w:r>
      <w:r w:rsidR="002368DE" w:rsidRPr="00303563">
        <w:rPr>
          <w:sz w:val="24"/>
        </w:rPr>
        <w:t xml:space="preserve">. </w:t>
      </w:r>
    </w:p>
    <w:p w14:paraId="355EB6D7" w14:textId="0074C9C5" w:rsidR="002368DE" w:rsidRPr="00303563" w:rsidRDefault="002368DE" w:rsidP="005C1D9C">
      <w:pPr>
        <w:autoSpaceDE w:val="0"/>
        <w:autoSpaceDN w:val="0"/>
        <w:adjustRightInd w:val="0"/>
        <w:spacing w:before="120" w:after="120" w:line="276" w:lineRule="auto"/>
        <w:rPr>
          <w:sz w:val="24"/>
        </w:rPr>
      </w:pPr>
      <w:r w:rsidRPr="00303563">
        <w:rPr>
          <w:sz w:val="24"/>
        </w:rPr>
        <w:t xml:space="preserve">Developing methods based on high quality evidence is essential for the integrity of </w:t>
      </w:r>
      <w:r w:rsidR="006E6B62" w:rsidRPr="00303563">
        <w:rPr>
          <w:sz w:val="24"/>
        </w:rPr>
        <w:t>the BidCarbon Standard Scheme</w:t>
      </w:r>
      <w:r w:rsidRPr="00303563">
        <w:rPr>
          <w:sz w:val="24"/>
        </w:rPr>
        <w:t xml:space="preserve">. In developing methods, the </w:t>
      </w:r>
      <w:r w:rsidR="000538F2">
        <w:rPr>
          <w:sz w:val="24"/>
        </w:rPr>
        <w:t>Technical Governance Committee</w:t>
      </w:r>
      <w:r w:rsidR="00285D10" w:rsidRPr="00303563">
        <w:rPr>
          <w:rFonts w:hint="eastAsia"/>
          <w:sz w:val="24"/>
          <w:lang w:eastAsia="zh-CN"/>
        </w:rPr>
        <w:t xml:space="preserve"> </w:t>
      </w:r>
      <w:r w:rsidRPr="00303563">
        <w:rPr>
          <w:sz w:val="24"/>
        </w:rPr>
        <w:t>draws from a range of sources and engages with experts including from industry and academia</w:t>
      </w:r>
      <w:r w:rsidR="00285D10" w:rsidRPr="00303563">
        <w:rPr>
          <w:rFonts w:hint="eastAsia"/>
          <w:sz w:val="24"/>
          <w:lang w:eastAsia="zh-CN"/>
        </w:rPr>
        <w:t>.</w:t>
      </w:r>
      <w:r w:rsidRPr="00303563">
        <w:rPr>
          <w:sz w:val="24"/>
        </w:rPr>
        <w:t xml:space="preserve"> </w:t>
      </w:r>
    </w:p>
    <w:p w14:paraId="0D99289B" w14:textId="29E71F6E" w:rsidR="002368DE" w:rsidRPr="00303563" w:rsidRDefault="008E2AC3" w:rsidP="005C1D9C">
      <w:pPr>
        <w:autoSpaceDE w:val="0"/>
        <w:autoSpaceDN w:val="0"/>
        <w:adjustRightInd w:val="0"/>
        <w:spacing w:before="120" w:after="120" w:line="276" w:lineRule="auto"/>
        <w:rPr>
          <w:sz w:val="24"/>
        </w:rPr>
      </w:pPr>
      <w:r>
        <w:rPr>
          <w:sz w:val="24"/>
        </w:rPr>
        <w:t>The TAC</w:t>
      </w:r>
      <w:r w:rsidR="002368DE" w:rsidRPr="00303563">
        <w:rPr>
          <w:sz w:val="24"/>
        </w:rPr>
        <w:t xml:space="preserve"> undertakes public consultation on draft methods. This ensures members of the public have an opportunity to evaluate and comment on methods.</w:t>
      </w:r>
    </w:p>
    <w:p w14:paraId="47B77542" w14:textId="73D53B4E" w:rsidR="002368DE" w:rsidRPr="00303563" w:rsidRDefault="002368DE" w:rsidP="005C1D9C">
      <w:pPr>
        <w:spacing w:line="276" w:lineRule="auto"/>
        <w:rPr>
          <w:sz w:val="24"/>
        </w:rPr>
      </w:pPr>
      <w:r w:rsidRPr="00303563">
        <w:rPr>
          <w:sz w:val="24"/>
        </w:rPr>
        <w:t xml:space="preserve">The nature of scientific progress means evidence will change over time. This means assumptions made when a method was developed may become outdated. To address this concern, </w:t>
      </w:r>
      <w:r w:rsidR="008E2AC3">
        <w:rPr>
          <w:sz w:val="24"/>
        </w:rPr>
        <w:t>the TAC</w:t>
      </w:r>
      <w:r w:rsidRPr="00303563">
        <w:rPr>
          <w:sz w:val="24"/>
        </w:rPr>
        <w:t xml:space="preserve"> undertakes reviews of methods to ensure they continue to meet this standard.</w:t>
      </w:r>
    </w:p>
    <w:p w14:paraId="641A5298" w14:textId="7E25E60E" w:rsidR="002368DE" w:rsidRPr="00303563" w:rsidRDefault="002368DE" w:rsidP="005C1D9C">
      <w:pPr>
        <w:spacing w:line="276" w:lineRule="auto"/>
        <w:rPr>
          <w:sz w:val="24"/>
        </w:rPr>
      </w:pPr>
      <w:r w:rsidRPr="00303563">
        <w:rPr>
          <w:sz w:val="24"/>
        </w:rPr>
        <w:t xml:space="preserve">In applying the evidence-based standard, </w:t>
      </w:r>
      <w:r w:rsidR="008E2AC3">
        <w:rPr>
          <w:sz w:val="24"/>
        </w:rPr>
        <w:t>the TAC</w:t>
      </w:r>
      <w:r w:rsidRPr="00303563">
        <w:rPr>
          <w:sz w:val="24"/>
        </w:rPr>
        <w:t xml:space="preserve"> generally considers the following factors.</w:t>
      </w:r>
    </w:p>
    <w:p w14:paraId="60DF8774" w14:textId="3C3D7EC7" w:rsidR="002368DE" w:rsidRPr="00303563" w:rsidRDefault="009B3BB4" w:rsidP="005C1D9C">
      <w:pPr>
        <w:pStyle w:val="ERACbullets"/>
        <w:numPr>
          <w:ilvl w:val="0"/>
          <w:numId w:val="33"/>
        </w:numPr>
        <w:ind w:left="357" w:hanging="357"/>
        <w:rPr>
          <w:rFonts w:asciiTheme="minorHAnsi" w:hAnsiTheme="minorHAnsi" w:cstheme="minorHAnsi"/>
          <w:sz w:val="24"/>
          <w:szCs w:val="24"/>
        </w:rPr>
      </w:pPr>
      <w:r w:rsidRPr="00303563">
        <w:rPr>
          <w:rFonts w:asciiTheme="minorHAnsi" w:hAnsiTheme="minorHAnsi" w:cstheme="minorHAnsi"/>
          <w:sz w:val="24"/>
          <w:szCs w:val="24"/>
        </w:rPr>
        <w:lastRenderedPageBreak/>
        <w:t>The sources of evidence used to develop assumptions and calculations in a method. Evidence may include peer-reviewed literature, industry publications, government publications, business documents, or international sources</w:t>
      </w:r>
      <w:r w:rsidR="002368DE" w:rsidRPr="00303563">
        <w:rPr>
          <w:rFonts w:asciiTheme="minorHAnsi" w:hAnsiTheme="minorHAnsi" w:cstheme="minorHAnsi"/>
          <w:sz w:val="24"/>
          <w:szCs w:val="24"/>
        </w:rPr>
        <w:t>.</w:t>
      </w:r>
    </w:p>
    <w:p w14:paraId="7A5C5F1A" w14:textId="77777777" w:rsidR="002368DE" w:rsidRPr="00303563" w:rsidRDefault="002368DE" w:rsidP="005C1D9C">
      <w:pPr>
        <w:pStyle w:val="ERACbullets"/>
        <w:numPr>
          <w:ilvl w:val="0"/>
          <w:numId w:val="33"/>
        </w:numPr>
        <w:ind w:left="357" w:hanging="357"/>
        <w:rPr>
          <w:rFonts w:asciiTheme="minorHAnsi" w:hAnsiTheme="minorHAnsi" w:cstheme="minorHAnsi"/>
          <w:sz w:val="24"/>
          <w:szCs w:val="24"/>
        </w:rPr>
      </w:pPr>
      <w:r w:rsidRPr="00303563">
        <w:rPr>
          <w:rFonts w:asciiTheme="minorHAnsi" w:hAnsiTheme="minorHAnsi" w:cstheme="minorHAnsi"/>
          <w:sz w:val="24"/>
          <w:szCs w:val="24"/>
        </w:rPr>
        <w:t>If there is variability or tension between evidence sources and how accepted the evidence is in the relevant scientific community.</w:t>
      </w:r>
    </w:p>
    <w:p w14:paraId="44B97336" w14:textId="77777777" w:rsidR="002368DE" w:rsidRPr="00303563" w:rsidRDefault="002368DE" w:rsidP="005C1D9C">
      <w:pPr>
        <w:pStyle w:val="ERACbullets"/>
        <w:numPr>
          <w:ilvl w:val="0"/>
          <w:numId w:val="33"/>
        </w:numPr>
        <w:ind w:left="357" w:hanging="357"/>
        <w:rPr>
          <w:rFonts w:asciiTheme="minorHAnsi" w:hAnsiTheme="minorHAnsi" w:cstheme="minorHAnsi"/>
          <w:sz w:val="24"/>
          <w:szCs w:val="24"/>
        </w:rPr>
      </w:pPr>
      <w:r w:rsidRPr="00303563">
        <w:rPr>
          <w:rFonts w:asciiTheme="minorHAnsi" w:hAnsiTheme="minorHAnsi" w:cstheme="minorHAnsi"/>
          <w:sz w:val="24"/>
          <w:szCs w:val="24"/>
        </w:rPr>
        <w:t>Whether the balance between modelled and directly measuring emissions estimates is appropriate and supported by evidence.</w:t>
      </w:r>
    </w:p>
    <w:p w14:paraId="1985C7BF" w14:textId="77777777" w:rsidR="002368DE" w:rsidRPr="005C1D9C" w:rsidRDefault="002368DE" w:rsidP="005C1D9C">
      <w:pPr>
        <w:pStyle w:val="ERACbullets"/>
        <w:numPr>
          <w:ilvl w:val="0"/>
          <w:numId w:val="33"/>
        </w:numPr>
        <w:ind w:left="357" w:hanging="357"/>
        <w:rPr>
          <w:rFonts w:asciiTheme="minorHAnsi" w:hAnsiTheme="minorHAnsi" w:cstheme="minorHAnsi"/>
        </w:rPr>
      </w:pPr>
      <w:r w:rsidRPr="00303563">
        <w:rPr>
          <w:rFonts w:asciiTheme="minorHAnsi" w:hAnsiTheme="minorHAnsi" w:cstheme="minorHAnsi"/>
          <w:sz w:val="24"/>
          <w:szCs w:val="24"/>
        </w:rPr>
        <w:t>The feedback received from technical experts, industry or through public submissions.</w:t>
      </w:r>
      <w:r w:rsidRPr="005C1D9C">
        <w:rPr>
          <w:rFonts w:asciiTheme="minorHAnsi" w:hAnsiTheme="minorHAnsi" w:cstheme="minorHAnsi"/>
        </w:rPr>
        <w:t xml:space="preserve"> </w:t>
      </w:r>
    </w:p>
    <w:p w14:paraId="77A0F64F" w14:textId="77777777" w:rsidR="002368DE" w:rsidRPr="005C1D9C" w:rsidRDefault="002368DE" w:rsidP="005C1D9C">
      <w:pPr>
        <w:pStyle w:val="30"/>
        <w:spacing w:line="276" w:lineRule="auto"/>
      </w:pPr>
      <w:bookmarkStart w:id="12" w:name="_Toc220426936"/>
      <w:r w:rsidRPr="005C1D9C">
        <w:rPr>
          <w:bCs w:val="0"/>
        </w:rPr>
        <w:t>6.5 Project emissions</w:t>
      </w:r>
      <w:bookmarkEnd w:id="12"/>
      <w:r w:rsidRPr="005C1D9C">
        <w:rPr>
          <w:bCs w:val="0"/>
        </w:rPr>
        <w:t xml:space="preserve"> </w:t>
      </w:r>
    </w:p>
    <w:p w14:paraId="75161B0C" w14:textId="2898CE70" w:rsidR="002368DE" w:rsidRPr="00A513FE" w:rsidRDefault="002368DE" w:rsidP="005C1D9C">
      <w:pPr>
        <w:spacing w:before="120" w:after="120" w:line="276" w:lineRule="auto"/>
        <w:rPr>
          <w:color w:val="auto"/>
          <w:sz w:val="24"/>
        </w:rPr>
      </w:pPr>
      <w:r w:rsidRPr="00A513FE">
        <w:rPr>
          <w:color w:val="auto"/>
          <w:sz w:val="24"/>
        </w:rPr>
        <w:t xml:space="preserve">The project emissions standard is contained in </w:t>
      </w:r>
      <w:r w:rsidR="0028235B">
        <w:rPr>
          <w:color w:val="auto"/>
          <w:sz w:val="24"/>
        </w:rPr>
        <w:t xml:space="preserve">paragraph </w:t>
      </w:r>
      <w:proofErr w:type="gramStart"/>
      <w:r w:rsidR="0028235B">
        <w:rPr>
          <w:color w:val="auto"/>
          <w:sz w:val="24"/>
        </w:rPr>
        <w:t>102.</w:t>
      </w:r>
      <w:r w:rsidRPr="00A513FE">
        <w:rPr>
          <w:color w:val="auto"/>
          <w:sz w:val="24"/>
        </w:rPr>
        <w:t>(</w:t>
      </w:r>
      <w:proofErr w:type="gramEnd"/>
      <w:r w:rsidRPr="00A513FE">
        <w:rPr>
          <w:color w:val="auto"/>
          <w:sz w:val="24"/>
        </w:rPr>
        <w:t xml:space="preserve">1)(e) of </w:t>
      </w:r>
      <w:r w:rsidR="000F2F61" w:rsidRPr="00A513FE">
        <w:rPr>
          <w:color w:val="auto"/>
          <w:sz w:val="24"/>
        </w:rPr>
        <w:t>the Carbon Farming Standard</w:t>
      </w:r>
      <w:r w:rsidRPr="00A513FE">
        <w:rPr>
          <w:color w:val="auto"/>
          <w:sz w:val="24"/>
        </w:rPr>
        <w:t>, which states:</w:t>
      </w:r>
    </w:p>
    <w:p w14:paraId="6C18A05B" w14:textId="07C0BA0C" w:rsidR="002368DE" w:rsidRPr="00303563" w:rsidRDefault="002368DE" w:rsidP="005C1D9C">
      <w:pPr>
        <w:pStyle w:val="a"/>
        <w:numPr>
          <w:ilvl w:val="0"/>
          <w:numId w:val="0"/>
        </w:numPr>
        <w:spacing w:after="120"/>
        <w:ind w:left="738" w:hanging="18"/>
        <w:rPr>
          <w:rFonts w:asciiTheme="minorHAnsi" w:hAnsiTheme="minorHAnsi" w:cstheme="minorHAnsi"/>
          <w:i/>
          <w:sz w:val="24"/>
          <w:szCs w:val="24"/>
          <w:lang w:val="en-US"/>
        </w:rPr>
      </w:pPr>
      <w:r w:rsidRPr="00303563">
        <w:rPr>
          <w:rFonts w:asciiTheme="minorHAnsi" w:hAnsiTheme="minorHAnsi" w:cstheme="minorHAnsi"/>
          <w:i/>
          <w:sz w:val="24"/>
          <w:szCs w:val="24"/>
        </w:rPr>
        <w:t xml:space="preserve">a method specified in, or ascertained in accordance with, a methodology determination in accordance with </w:t>
      </w:r>
      <w:r w:rsidR="0028235B">
        <w:rPr>
          <w:rFonts w:asciiTheme="minorHAnsi" w:hAnsiTheme="minorHAnsi" w:cstheme="minorHAnsi"/>
          <w:i/>
          <w:sz w:val="24"/>
          <w:szCs w:val="24"/>
        </w:rPr>
        <w:t xml:space="preserve">paragraph </w:t>
      </w:r>
      <w:proofErr w:type="gramStart"/>
      <w:r w:rsidR="0028235B">
        <w:rPr>
          <w:rFonts w:asciiTheme="minorHAnsi" w:hAnsiTheme="minorHAnsi" w:cstheme="minorHAnsi"/>
          <w:i/>
          <w:sz w:val="24"/>
          <w:szCs w:val="24"/>
        </w:rPr>
        <w:t>90.</w:t>
      </w:r>
      <w:r w:rsidRPr="00480E39">
        <w:rPr>
          <w:rFonts w:asciiTheme="minorHAnsi" w:hAnsiTheme="minorHAnsi" w:cstheme="minorHAnsi"/>
          <w:iCs/>
          <w:sz w:val="24"/>
          <w:szCs w:val="24"/>
        </w:rPr>
        <w:t>(</w:t>
      </w:r>
      <w:proofErr w:type="gramEnd"/>
      <w:r w:rsidRPr="00480E39">
        <w:rPr>
          <w:rFonts w:asciiTheme="minorHAnsi" w:hAnsiTheme="minorHAnsi" w:cstheme="minorHAnsi"/>
          <w:iCs/>
          <w:sz w:val="24"/>
          <w:szCs w:val="24"/>
        </w:rPr>
        <w:t xml:space="preserve">1)(c) </w:t>
      </w:r>
      <w:r w:rsidR="00480E39" w:rsidRPr="00480E39">
        <w:rPr>
          <w:rFonts w:asciiTheme="minorHAnsi" w:hAnsiTheme="minorHAnsi" w:cstheme="minorHAnsi"/>
          <w:iCs/>
          <w:sz w:val="24"/>
          <w:szCs w:val="24"/>
        </w:rPr>
        <w:t xml:space="preserve">of the Carbon Farming Standard </w:t>
      </w:r>
      <w:r w:rsidRPr="00480E39">
        <w:rPr>
          <w:rFonts w:asciiTheme="minorHAnsi" w:hAnsiTheme="minorHAnsi" w:cstheme="minorHAnsi"/>
          <w:iCs/>
          <w:sz w:val="24"/>
          <w:szCs w:val="24"/>
        </w:rPr>
        <w:t>shoul</w:t>
      </w:r>
      <w:r w:rsidRPr="00303563">
        <w:rPr>
          <w:rFonts w:asciiTheme="minorHAnsi" w:hAnsiTheme="minorHAnsi" w:cstheme="minorHAnsi"/>
          <w:i/>
          <w:sz w:val="24"/>
          <w:szCs w:val="24"/>
        </w:rPr>
        <w:t>d provide that, in ascertaining the carbon dioxide equivalent net abatement amount for a project, there is to be a deduction of the carbon dioxide equivalent of any amounts of greenhouse gases that:</w:t>
      </w:r>
    </w:p>
    <w:p w14:paraId="07CCACC9" w14:textId="77777777" w:rsidR="002368DE" w:rsidRPr="00303563" w:rsidRDefault="002368DE" w:rsidP="005C1D9C">
      <w:pPr>
        <w:pStyle w:val="a"/>
        <w:numPr>
          <w:ilvl w:val="0"/>
          <w:numId w:val="0"/>
        </w:numPr>
        <w:spacing w:after="120"/>
        <w:ind w:left="1089" w:hanging="369"/>
        <w:rPr>
          <w:rFonts w:asciiTheme="minorHAnsi" w:hAnsiTheme="minorHAnsi" w:cstheme="minorHAnsi"/>
          <w:i/>
          <w:sz w:val="24"/>
          <w:szCs w:val="24"/>
          <w:lang w:val="en-US"/>
        </w:rPr>
      </w:pPr>
      <w:r w:rsidRPr="00303563">
        <w:rPr>
          <w:rFonts w:asciiTheme="minorHAnsi" w:hAnsiTheme="minorHAnsi" w:cstheme="minorHAnsi"/>
          <w:i/>
          <w:sz w:val="24"/>
          <w:szCs w:val="24"/>
        </w:rPr>
        <w:t>(i)  are emitted as a direct consequence of carrying out the project; and</w:t>
      </w:r>
    </w:p>
    <w:p w14:paraId="520D59E2" w14:textId="77777777" w:rsidR="002368DE" w:rsidRPr="00303563" w:rsidRDefault="002368DE" w:rsidP="005C1D9C">
      <w:pPr>
        <w:pStyle w:val="a"/>
        <w:numPr>
          <w:ilvl w:val="0"/>
          <w:numId w:val="0"/>
        </w:numPr>
        <w:spacing w:after="120"/>
        <w:ind w:left="369" w:firstLine="351"/>
        <w:rPr>
          <w:rFonts w:asciiTheme="minorHAnsi" w:hAnsiTheme="minorHAnsi" w:cstheme="minorHAnsi"/>
          <w:i/>
          <w:sz w:val="24"/>
          <w:szCs w:val="24"/>
          <w:lang w:val="en-US"/>
        </w:rPr>
      </w:pPr>
      <w:r w:rsidRPr="00303563">
        <w:rPr>
          <w:rFonts w:asciiTheme="minorHAnsi" w:hAnsiTheme="minorHAnsi" w:cstheme="minorHAnsi"/>
          <w:i/>
          <w:sz w:val="24"/>
          <w:szCs w:val="24"/>
        </w:rPr>
        <w:t>(ii)  under the determination, are taken to be material amounts.</w:t>
      </w:r>
    </w:p>
    <w:p w14:paraId="653E1C26" w14:textId="4747EA34" w:rsidR="002368DE" w:rsidRPr="00303563" w:rsidRDefault="002368DE" w:rsidP="005C1D9C">
      <w:pPr>
        <w:spacing w:before="120" w:after="120" w:line="276" w:lineRule="auto"/>
        <w:rPr>
          <w:sz w:val="24"/>
        </w:rPr>
      </w:pPr>
      <w:r w:rsidRPr="00303563">
        <w:rPr>
          <w:sz w:val="24"/>
        </w:rPr>
        <w:t xml:space="preserve">Project emissions refer to increases in emissions within the project boundary that occur as a consequence of undertaking the relevant abatement activity. </w:t>
      </w:r>
    </w:p>
    <w:p w14:paraId="1ACAD0F9" w14:textId="1724C36B" w:rsidR="002368DE" w:rsidRPr="00303563" w:rsidRDefault="002368DE" w:rsidP="005C1D9C">
      <w:pPr>
        <w:spacing w:before="120" w:after="120" w:line="276" w:lineRule="auto"/>
        <w:rPr>
          <w:sz w:val="24"/>
        </w:rPr>
      </w:pPr>
      <w:r w:rsidRPr="00303563">
        <w:rPr>
          <w:sz w:val="24"/>
        </w:rPr>
        <w:t>Leakage refers to increases in emissions or reductions in removals that occur outside the project boundary as a consequence of the project activity. Leakage comes in two forms: direct</w:t>
      </w:r>
      <w:r w:rsidR="00A513FE">
        <w:rPr>
          <w:rFonts w:hint="eastAsia"/>
          <w:sz w:val="24"/>
          <w:lang w:eastAsia="zh-CN"/>
        </w:rPr>
        <w:t xml:space="preserve"> </w:t>
      </w:r>
      <w:r w:rsidR="00A513FE" w:rsidRPr="00303563">
        <w:rPr>
          <w:sz w:val="24"/>
        </w:rPr>
        <w:t>leakage</w:t>
      </w:r>
      <w:r w:rsidRPr="00303563">
        <w:rPr>
          <w:sz w:val="24"/>
        </w:rPr>
        <w:t xml:space="preserve"> and indirect</w:t>
      </w:r>
      <w:r w:rsidR="00A513FE">
        <w:rPr>
          <w:rFonts w:hint="eastAsia"/>
          <w:sz w:val="24"/>
          <w:lang w:eastAsia="zh-CN"/>
        </w:rPr>
        <w:t xml:space="preserve"> </w:t>
      </w:r>
      <w:r w:rsidR="00A513FE" w:rsidRPr="00303563">
        <w:rPr>
          <w:sz w:val="24"/>
        </w:rPr>
        <w:t>leakage</w:t>
      </w:r>
      <w:r w:rsidRPr="00303563">
        <w:rPr>
          <w:sz w:val="24"/>
        </w:rPr>
        <w:t>.</w:t>
      </w:r>
    </w:p>
    <w:p w14:paraId="71BF9AE6" w14:textId="77777777" w:rsidR="002368DE" w:rsidRPr="00303563" w:rsidRDefault="002368DE" w:rsidP="005C1D9C">
      <w:pPr>
        <w:spacing w:before="120" w:after="120" w:line="276" w:lineRule="auto"/>
        <w:rPr>
          <w:sz w:val="24"/>
        </w:rPr>
      </w:pPr>
      <w:r w:rsidRPr="00303563">
        <w:rPr>
          <w:sz w:val="24"/>
        </w:rPr>
        <w:t xml:space="preserve">Direct leakage, also known as activity shifting, refers to instances where the project proponent physically moves the emitting activity to another location, outside the project boundary, while claiming credits for the reduction in emissions inside the project boundary. </w:t>
      </w:r>
    </w:p>
    <w:p w14:paraId="5EA65D78" w14:textId="77777777" w:rsidR="002368DE" w:rsidRPr="00303563" w:rsidRDefault="002368DE" w:rsidP="005C1D9C">
      <w:pPr>
        <w:spacing w:before="120" w:after="120" w:line="276" w:lineRule="auto"/>
        <w:rPr>
          <w:sz w:val="24"/>
        </w:rPr>
      </w:pPr>
      <w:r w:rsidRPr="00303563">
        <w:rPr>
          <w:sz w:val="24"/>
        </w:rPr>
        <w:t>Indirect leakage refers to instances where the benefits of the abatement within the project boundary are negated by market-induced increases in emissions or reductions in removals outside of the project boundary. For example, in an offset project involving reforestation of grazing land, indirect leakage could involve an increase in deforestation triggered by higher meat prices that arise from the loss of grazing land and associated reduction in meat production.</w:t>
      </w:r>
    </w:p>
    <w:p w14:paraId="2F5C9E6F" w14:textId="7F0B49E9" w:rsidR="002368DE" w:rsidRPr="00303563" w:rsidRDefault="00CB34F3" w:rsidP="005C1D9C">
      <w:pPr>
        <w:spacing w:before="120" w:after="120" w:line="276" w:lineRule="auto"/>
        <w:rPr>
          <w:sz w:val="24"/>
        </w:rPr>
      </w:pPr>
      <w:r w:rsidRPr="00CB34F3">
        <w:rPr>
          <w:sz w:val="24"/>
        </w:rPr>
        <w:t xml:space="preserve">The project emissions standard requires methods to include appropriate deductions for all material project emissions. Deductions must be based on project emissions estimated in a robust manner, supported by clear and convincing evidence, consistent with the measurable and verifiable standard and the evidence-based standard. Estimates used for deductions must also ensure that </w:t>
      </w:r>
      <w:r w:rsidRPr="00CB34F3">
        <w:rPr>
          <w:sz w:val="24"/>
        </w:rPr>
        <w:lastRenderedPageBreak/>
        <w:t>net abatement is conservative, erring on the high side (i.e. likely to over-estimate rather than under-estimate the project emissions, consistent with the conservative standard).</w:t>
      </w:r>
    </w:p>
    <w:p w14:paraId="0F36DA00" w14:textId="5C3A45B1" w:rsidR="002368DE" w:rsidRPr="00303563" w:rsidRDefault="005812D0" w:rsidP="005C1D9C">
      <w:pPr>
        <w:spacing w:before="120" w:after="120" w:line="276" w:lineRule="auto"/>
        <w:rPr>
          <w:sz w:val="24"/>
        </w:rPr>
      </w:pPr>
      <w:r w:rsidRPr="005812D0">
        <w:rPr>
          <w:sz w:val="24"/>
        </w:rPr>
        <w:t xml:space="preserve">Project emissions to be material if, cumulatively, they are likely to exceed five per cent of the net abatement </w:t>
      </w:r>
      <w:proofErr w:type="gramStart"/>
      <w:r w:rsidRPr="005812D0">
        <w:rPr>
          <w:sz w:val="24"/>
        </w:rPr>
        <w:t>amount</w:t>
      </w:r>
      <w:proofErr w:type="gramEnd"/>
      <w:r w:rsidRPr="005812D0">
        <w:rPr>
          <w:sz w:val="24"/>
        </w:rPr>
        <w:t xml:space="preserve"> of projects taken under the method</w:t>
      </w:r>
      <w:r w:rsidR="002368DE" w:rsidRPr="00303563">
        <w:rPr>
          <w:sz w:val="24"/>
        </w:rPr>
        <w:t>.</w:t>
      </w:r>
    </w:p>
    <w:p w14:paraId="4655E507" w14:textId="32F447A6" w:rsidR="002368DE" w:rsidRPr="00303563" w:rsidRDefault="005812D0" w:rsidP="005C1D9C">
      <w:pPr>
        <w:spacing w:before="120" w:after="120" w:line="276" w:lineRule="auto"/>
        <w:rPr>
          <w:sz w:val="24"/>
        </w:rPr>
      </w:pPr>
      <w:r w:rsidRPr="005812D0">
        <w:rPr>
          <w:sz w:val="24"/>
        </w:rPr>
        <w:t>The standard does not require deductions for direct or indirect leakage, as these emissions do not arise as a direct consequence of carrying out the project. Direct leakage results from non-project activities, while indirect leakage arises from the interaction of multiple factors, many outside the control of the project. Although leakage emissions are not deducted under this standard, they are considered when applying the conservative standard.</w:t>
      </w:r>
    </w:p>
    <w:p w14:paraId="68400BC4" w14:textId="130BF6F9" w:rsidR="002368DE" w:rsidRPr="00303563" w:rsidRDefault="005812D0" w:rsidP="005C1D9C">
      <w:pPr>
        <w:spacing w:before="120" w:after="120" w:line="276" w:lineRule="auto"/>
        <w:rPr>
          <w:sz w:val="24"/>
        </w:rPr>
      </w:pPr>
      <w:r w:rsidRPr="005812D0">
        <w:rPr>
          <w:sz w:val="24"/>
        </w:rPr>
        <w:t>Deductions for project emissions are preferably calculated on a net basis, considering what emissions would have occurred under the baseline without the project. Methods that do not calculate project emissions on a net basis may still meet the standard.</w:t>
      </w:r>
    </w:p>
    <w:p w14:paraId="3F1BE404" w14:textId="77777777" w:rsidR="002368DE" w:rsidRPr="005C1D9C" w:rsidRDefault="002368DE" w:rsidP="005C1D9C">
      <w:pPr>
        <w:pStyle w:val="30"/>
        <w:spacing w:line="276" w:lineRule="auto"/>
      </w:pPr>
      <w:bookmarkStart w:id="13" w:name="_Toc220426937"/>
      <w:r w:rsidRPr="005C1D9C">
        <w:rPr>
          <w:bCs w:val="0"/>
        </w:rPr>
        <w:t>6.6 Conservative</w:t>
      </w:r>
      <w:bookmarkEnd w:id="13"/>
    </w:p>
    <w:p w14:paraId="2C073948" w14:textId="3BCD128E" w:rsidR="002368DE" w:rsidRPr="005C1D9C" w:rsidRDefault="002368DE" w:rsidP="005C1D9C">
      <w:pPr>
        <w:spacing w:before="120" w:after="120" w:line="276" w:lineRule="auto"/>
      </w:pPr>
      <w:r w:rsidRPr="005C1D9C">
        <w:t xml:space="preserve">The conservative standard is contained in </w:t>
      </w:r>
      <w:r w:rsidR="0028235B">
        <w:t xml:space="preserve">paragraph </w:t>
      </w:r>
      <w:proofErr w:type="gramStart"/>
      <w:r w:rsidR="0028235B">
        <w:t>102.</w:t>
      </w:r>
      <w:r w:rsidRPr="005C1D9C">
        <w:t>(</w:t>
      </w:r>
      <w:proofErr w:type="gramEnd"/>
      <w:r w:rsidRPr="005C1D9C">
        <w:t xml:space="preserve">1)(g) of </w:t>
      </w:r>
      <w:r w:rsidR="000F2F61">
        <w:t>the Carbon Farming Standard</w:t>
      </w:r>
      <w:r w:rsidRPr="005C1D9C">
        <w:t>, which states:</w:t>
      </w:r>
    </w:p>
    <w:p w14:paraId="2C2D521A" w14:textId="3BE0B110" w:rsidR="002368DE" w:rsidRPr="00E72338" w:rsidRDefault="002368DE" w:rsidP="005C1D9C">
      <w:pPr>
        <w:pStyle w:val="a"/>
        <w:numPr>
          <w:ilvl w:val="0"/>
          <w:numId w:val="0"/>
        </w:numPr>
        <w:spacing w:after="120"/>
        <w:ind w:left="738" w:hanging="18"/>
        <w:rPr>
          <w:rFonts w:asciiTheme="minorHAnsi" w:hAnsiTheme="minorHAnsi" w:cstheme="minorHAnsi"/>
          <w:i/>
          <w:lang w:val="en-US"/>
        </w:rPr>
      </w:pPr>
      <w:r w:rsidRPr="00E72338">
        <w:rPr>
          <w:rFonts w:asciiTheme="minorHAnsi" w:hAnsiTheme="minorHAnsi" w:cstheme="minorHAnsi"/>
          <w:i/>
        </w:rPr>
        <w:t xml:space="preserve">to the extent to which a method specified in, or ascertained in accordance with, a methodology determination in accordance with </w:t>
      </w:r>
      <w:r w:rsidR="0028235B">
        <w:rPr>
          <w:rFonts w:asciiTheme="minorHAnsi" w:hAnsiTheme="minorHAnsi" w:cstheme="minorHAnsi"/>
          <w:i/>
        </w:rPr>
        <w:t xml:space="preserve">paragraph </w:t>
      </w:r>
      <w:proofErr w:type="gramStart"/>
      <w:r w:rsidR="0028235B">
        <w:rPr>
          <w:rFonts w:asciiTheme="minorHAnsi" w:hAnsiTheme="minorHAnsi" w:cstheme="minorHAnsi"/>
          <w:i/>
        </w:rPr>
        <w:t>90.</w:t>
      </w:r>
      <w:r w:rsidRPr="00E72338">
        <w:rPr>
          <w:rFonts w:asciiTheme="minorHAnsi" w:hAnsiTheme="minorHAnsi" w:cstheme="minorHAnsi"/>
          <w:i/>
        </w:rPr>
        <w:t>(</w:t>
      </w:r>
      <w:proofErr w:type="gramEnd"/>
      <w:r w:rsidRPr="00E72338">
        <w:rPr>
          <w:rFonts w:asciiTheme="minorHAnsi" w:hAnsiTheme="minorHAnsi" w:cstheme="minorHAnsi"/>
          <w:i/>
        </w:rPr>
        <w:t>1)(c)</w:t>
      </w:r>
      <w:r w:rsidR="00E72338" w:rsidRPr="00E72338">
        <w:rPr>
          <w:rFonts w:asciiTheme="minorHAnsi" w:eastAsiaTheme="minorEastAsia" w:hAnsiTheme="minorHAnsi" w:cstheme="minorHAnsi"/>
          <w:i/>
          <w:lang w:eastAsia="zh-CN"/>
        </w:rPr>
        <w:t xml:space="preserve"> </w:t>
      </w:r>
      <w:r w:rsidR="00E72338" w:rsidRPr="00E72338">
        <w:rPr>
          <w:rFonts w:asciiTheme="minorHAnsi" w:hAnsiTheme="minorHAnsi" w:cstheme="minorHAnsi"/>
          <w:i/>
        </w:rPr>
        <w:t>of the Carbon Farming Standard</w:t>
      </w:r>
      <w:r w:rsidRPr="00E72338">
        <w:rPr>
          <w:rFonts w:asciiTheme="minorHAnsi" w:hAnsiTheme="minorHAnsi" w:cstheme="minorHAnsi"/>
          <w:i/>
        </w:rPr>
        <w:t xml:space="preserve"> involves an estimate, projection or assumption—the estimate, projection or assumption should be conservative.</w:t>
      </w:r>
    </w:p>
    <w:p w14:paraId="61B38C34" w14:textId="19DE9A58" w:rsidR="002368DE" w:rsidRPr="005C1D9C" w:rsidRDefault="005812D0" w:rsidP="005C1D9C">
      <w:pPr>
        <w:spacing w:before="120" w:after="120" w:line="276" w:lineRule="auto"/>
      </w:pPr>
      <w:r w:rsidRPr="005812D0">
        <w:t>All estimates, projections, and assumptions affecting the calculation of net abatement must be conservative. In this context, “conservative” means cautious and likely to avoid overestimating the abatement credited under the method</w:t>
      </w:r>
      <w:r w:rsidR="002368DE" w:rsidRPr="005C1D9C">
        <w:t xml:space="preserve">. </w:t>
      </w:r>
    </w:p>
    <w:p w14:paraId="4016A226" w14:textId="20277B21" w:rsidR="002368DE" w:rsidRPr="005C1D9C" w:rsidRDefault="00E72338" w:rsidP="005C1D9C">
      <w:pPr>
        <w:spacing w:before="120" w:after="120" w:line="276" w:lineRule="auto"/>
      </w:pPr>
      <w:r w:rsidRPr="00E72338">
        <w:t>Requiring every estimate, projection and assumption in a method to be conservative—meaning highly likely to under-estimate—would result in overly conservative estimates of net abatement from eligible projects. This, in turn, would weaken the incentive for people to undertake offset projects</w:t>
      </w:r>
      <w:r w:rsidR="002368DE" w:rsidRPr="005C1D9C">
        <w:t>.</w:t>
      </w:r>
    </w:p>
    <w:p w14:paraId="3F575DED" w14:textId="21008D20" w:rsidR="002368DE" w:rsidRPr="005C1D9C" w:rsidRDefault="005812D0" w:rsidP="005C1D9C">
      <w:pPr>
        <w:spacing w:before="120" w:after="120" w:line="276" w:lineRule="auto"/>
      </w:pPr>
      <w:r w:rsidRPr="005812D0">
        <w:t>Not every estimate, projection, or assumption is required to individually be highly conservative. The degree of conservativeness is determined in the context of the method, with the aim that the combined effect of all relevant estimates, projections, and assumptions results in a conservative estimate of net abatement</w:t>
      </w:r>
      <w:r w:rsidR="002368DE" w:rsidRPr="005C1D9C">
        <w:t>.</w:t>
      </w:r>
    </w:p>
    <w:p w14:paraId="15BB29F0" w14:textId="11937586" w:rsidR="002368DE" w:rsidRPr="005C1D9C" w:rsidRDefault="005812D0" w:rsidP="005C1D9C">
      <w:pPr>
        <w:spacing w:before="120" w:after="120" w:line="276" w:lineRule="auto"/>
      </w:pPr>
      <w:r w:rsidRPr="005812D0">
        <w:t>The term “conservative” must be applied appropriately. The fact that the application of the method is likely to under-estimate the net abatement amount does not mean individual estimates, projections and assumptions can be overestimates. Each individual estimate, projection and assumption must at least have a reasonable probability of being an underestimate (other than in relation to deductions, where they should be likely to be overestimates)</w:t>
      </w:r>
      <w:r w:rsidR="002368DE" w:rsidRPr="005C1D9C">
        <w:t>.</w:t>
      </w:r>
    </w:p>
    <w:p w14:paraId="484491B0" w14:textId="77777777" w:rsidR="002368DE" w:rsidRPr="005C1D9C" w:rsidRDefault="002368DE" w:rsidP="005C1D9C">
      <w:pPr>
        <w:spacing w:line="276" w:lineRule="auto"/>
      </w:pPr>
      <w:r w:rsidRPr="005C1D9C">
        <w:t xml:space="preserve">Like all of the standards, the conservative standard is applied at the method-level. Methods must be likely to provide a conservative estimate of the net abatement amount of most projects taken under the method. If methods are likely to overestimate the abatement from some projects, across all projects likely to be initiated under the method, the method must be likely to underestimate the aggregate net abatement amount. Similarly, in relation to each individual estimate, projection and assumption, while they may </w:t>
      </w:r>
      <w:r w:rsidRPr="005C1D9C">
        <w:lastRenderedPageBreak/>
        <w:t xml:space="preserve">constitute an overestimate in relation to some projects, they must at least have a reasonable probability of being an underestimate for most projects likely to be taken under the method. </w:t>
      </w:r>
    </w:p>
    <w:p w14:paraId="0995DAF1" w14:textId="62BF512F" w:rsidR="002368DE" w:rsidRPr="005C1D9C" w:rsidRDefault="005812D0" w:rsidP="005C1D9C">
      <w:pPr>
        <w:spacing w:line="276" w:lineRule="auto"/>
      </w:pPr>
      <w:r w:rsidRPr="005812D0">
        <w:t>In applying the conservative standard, both explicit and implicit estimates, projections, and assumptions may be considered. The absence of an explicitly identified estimate, projection, or assumption does not imply it has not been used in developing the method, or that it is irrelevant to assessing the conservativeness of net abatement estimates. Consistent with this, the following factors are generally considered:</w:t>
      </w:r>
    </w:p>
    <w:p w14:paraId="54FD0666" w14:textId="77777777" w:rsidR="002368DE" w:rsidRPr="005C1D9C" w:rsidRDefault="002368DE" w:rsidP="005C1D9C">
      <w:pPr>
        <w:pStyle w:val="ERACbullets"/>
        <w:numPr>
          <w:ilvl w:val="0"/>
          <w:numId w:val="33"/>
        </w:numPr>
        <w:ind w:left="357" w:hanging="357"/>
        <w:rPr>
          <w:rFonts w:asciiTheme="minorHAnsi" w:hAnsiTheme="minorHAnsi" w:cstheme="minorHAnsi"/>
        </w:rPr>
      </w:pPr>
      <w:r w:rsidRPr="005C1D9C">
        <w:rPr>
          <w:rFonts w:asciiTheme="minorHAnsi" w:hAnsiTheme="minorHAnsi" w:cstheme="minorHAnsi"/>
        </w:rPr>
        <w:t xml:space="preserve">the potential for direct and indirect leakage to arise as a consequence of project activities; and </w:t>
      </w:r>
    </w:p>
    <w:p w14:paraId="09EB4F66" w14:textId="77777777" w:rsidR="002368DE" w:rsidRPr="005C1D9C" w:rsidRDefault="002368DE" w:rsidP="005C1D9C">
      <w:pPr>
        <w:pStyle w:val="ERACbullets"/>
        <w:numPr>
          <w:ilvl w:val="0"/>
          <w:numId w:val="33"/>
        </w:numPr>
        <w:ind w:left="357" w:hanging="357"/>
        <w:rPr>
          <w:rFonts w:asciiTheme="minorHAnsi" w:hAnsiTheme="minorHAnsi" w:cstheme="minorHAnsi"/>
        </w:rPr>
      </w:pPr>
      <w:r w:rsidRPr="005C1D9C">
        <w:rPr>
          <w:rFonts w:asciiTheme="minorHAnsi" w:hAnsiTheme="minorHAnsi" w:cstheme="minorHAnsi"/>
        </w:rPr>
        <w:t xml:space="preserve">the risk of non-permanence for sequestration projects and whether, having regard to the permanence period discount, the net abatement amount is sufficiently conservative.  </w:t>
      </w:r>
    </w:p>
    <w:p w14:paraId="0A7AF8BC" w14:textId="1E5E0E43" w:rsidR="009D01EB" w:rsidRPr="00E72338" w:rsidRDefault="002368DE" w:rsidP="00E72338">
      <w:pPr>
        <w:spacing w:before="120" w:after="120" w:line="276" w:lineRule="auto"/>
      </w:pPr>
      <w:r w:rsidRPr="005C1D9C">
        <w:t>Non-permanence refers to the risk that carbon sequestered as a consequence of sequestration offset projects will be fully or partially released as a result of future events.</w:t>
      </w:r>
    </w:p>
    <w:sectPr w:rsidR="009D01EB" w:rsidRPr="00E72338" w:rsidSect="005C1D9C">
      <w:headerReference w:type="default" r:id="rId12"/>
      <w:footerReference w:type="default" r:id="rId13"/>
      <w:footerReference w:type="first" r:id="rId14"/>
      <w:pgSz w:w="11900" w:h="16840" w:code="9"/>
      <w:pgMar w:top="889" w:right="1080" w:bottom="1276" w:left="1080" w:header="27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3FBAC" w14:textId="77777777" w:rsidR="00D27835" w:rsidRDefault="00D27835" w:rsidP="00176C28">
      <w:r>
        <w:separator/>
      </w:r>
    </w:p>
  </w:endnote>
  <w:endnote w:type="continuationSeparator" w:id="0">
    <w:p w14:paraId="3134F558" w14:textId="77777777" w:rsidR="00D27835" w:rsidRDefault="00D27835" w:rsidP="0017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975700"/>
      <w:docPartObj>
        <w:docPartGallery w:val="Page Numbers (Bottom of Page)"/>
        <w:docPartUnique/>
      </w:docPartObj>
    </w:sdtPr>
    <w:sdtContent>
      <w:sdt>
        <w:sdtPr>
          <w:id w:val="1728636285"/>
          <w:docPartObj>
            <w:docPartGallery w:val="Page Numbers (Top of Page)"/>
            <w:docPartUnique/>
          </w:docPartObj>
        </w:sdtPr>
        <w:sdtContent>
          <w:p w14:paraId="70761986" w14:textId="7E506346" w:rsidR="00F76419" w:rsidRPr="002A4136" w:rsidRDefault="005812D0" w:rsidP="005812D0">
            <w:pPr>
              <w:pStyle w:val="a7"/>
              <w:jc w:val="center"/>
              <w:rPr>
                <w:rStyle w:val="Protectivemarker"/>
                <w:b w:val="0"/>
                <w:color w:val="005874"/>
                <w:sz w:val="16"/>
              </w:rPr>
            </w:pPr>
            <w:r w:rsidRPr="005812D0">
              <w:rPr>
                <w:rFonts w:ascii="Calibri" w:hAnsi="Calibri" w:cs="Calibri"/>
                <w:sz w:val="24"/>
                <w:szCs w:val="24"/>
                <w:lang w:val="zh-CN" w:eastAsia="zh-CN"/>
              </w:rPr>
              <w:t xml:space="preserve"> </w:t>
            </w:r>
            <w:r w:rsidRPr="005812D0">
              <w:rPr>
                <w:rFonts w:ascii="Calibri" w:hAnsi="Calibri" w:cs="Calibri"/>
                <w:b/>
                <w:bCs/>
                <w:sz w:val="24"/>
                <w:szCs w:val="24"/>
              </w:rPr>
              <w:fldChar w:fldCharType="begin"/>
            </w:r>
            <w:r w:rsidRPr="005812D0">
              <w:rPr>
                <w:rFonts w:ascii="Calibri" w:hAnsi="Calibri" w:cs="Calibri"/>
                <w:b/>
                <w:bCs/>
                <w:sz w:val="24"/>
                <w:szCs w:val="24"/>
              </w:rPr>
              <w:instrText>PAGE</w:instrText>
            </w:r>
            <w:r w:rsidRPr="005812D0">
              <w:rPr>
                <w:rFonts w:ascii="Calibri" w:hAnsi="Calibri" w:cs="Calibri"/>
                <w:b/>
                <w:bCs/>
                <w:sz w:val="24"/>
                <w:szCs w:val="24"/>
              </w:rPr>
              <w:fldChar w:fldCharType="separate"/>
            </w:r>
            <w:r w:rsidRPr="005812D0">
              <w:rPr>
                <w:rFonts w:ascii="Calibri" w:hAnsi="Calibri" w:cs="Calibri"/>
                <w:b/>
                <w:bCs/>
                <w:sz w:val="24"/>
                <w:szCs w:val="24"/>
                <w:lang w:val="zh-CN" w:eastAsia="zh-CN"/>
              </w:rPr>
              <w:t>2</w:t>
            </w:r>
            <w:r w:rsidRPr="005812D0">
              <w:rPr>
                <w:rFonts w:ascii="Calibri" w:hAnsi="Calibri" w:cs="Calibri"/>
                <w:b/>
                <w:bCs/>
                <w:sz w:val="24"/>
                <w:szCs w:val="24"/>
              </w:rPr>
              <w:fldChar w:fldCharType="end"/>
            </w:r>
            <w:r w:rsidRPr="005812D0">
              <w:rPr>
                <w:rFonts w:ascii="Calibri" w:hAnsi="Calibri" w:cs="Calibri"/>
                <w:sz w:val="24"/>
                <w:szCs w:val="24"/>
                <w:lang w:val="zh-CN" w:eastAsia="zh-CN"/>
              </w:rPr>
              <w:t xml:space="preserve"> / </w:t>
            </w:r>
            <w:r w:rsidRPr="005812D0">
              <w:rPr>
                <w:rFonts w:ascii="Calibri" w:hAnsi="Calibri" w:cs="Calibri"/>
                <w:b/>
                <w:bCs/>
                <w:sz w:val="24"/>
                <w:szCs w:val="24"/>
              </w:rPr>
              <w:fldChar w:fldCharType="begin"/>
            </w:r>
            <w:r w:rsidRPr="005812D0">
              <w:rPr>
                <w:rFonts w:ascii="Calibri" w:hAnsi="Calibri" w:cs="Calibri"/>
                <w:b/>
                <w:bCs/>
                <w:sz w:val="24"/>
                <w:szCs w:val="24"/>
              </w:rPr>
              <w:instrText>NUMPAGES</w:instrText>
            </w:r>
            <w:r w:rsidRPr="005812D0">
              <w:rPr>
                <w:rFonts w:ascii="Calibri" w:hAnsi="Calibri" w:cs="Calibri"/>
                <w:b/>
                <w:bCs/>
                <w:sz w:val="24"/>
                <w:szCs w:val="24"/>
              </w:rPr>
              <w:fldChar w:fldCharType="separate"/>
            </w:r>
            <w:r w:rsidRPr="005812D0">
              <w:rPr>
                <w:rFonts w:ascii="Calibri" w:hAnsi="Calibri" w:cs="Calibri"/>
                <w:b/>
                <w:bCs/>
                <w:sz w:val="24"/>
                <w:szCs w:val="24"/>
                <w:lang w:val="zh-CN" w:eastAsia="zh-CN"/>
              </w:rPr>
              <w:t>2</w:t>
            </w:r>
            <w:r w:rsidRPr="005812D0">
              <w:rPr>
                <w:rFonts w:ascii="Calibri" w:hAnsi="Calibri" w:cs="Calibri"/>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45FD" w14:textId="77777777" w:rsidR="0065750A" w:rsidRPr="009C30B4" w:rsidRDefault="0065750A" w:rsidP="00AD649E">
    <w:pPr>
      <w:tabs>
        <w:tab w:val="left" w:pos="2694"/>
        <w:tab w:val="left" w:pos="3969"/>
        <w:tab w:val="left" w:pos="6946"/>
        <w:tab w:val="right" w:pos="9498"/>
      </w:tabs>
      <w:ind w:left="284" w:right="242"/>
      <w:rPr>
        <w:color w:val="00587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190DC" w14:textId="77777777" w:rsidR="00D27835" w:rsidRDefault="00D27835" w:rsidP="00176C28">
      <w:r>
        <w:separator/>
      </w:r>
    </w:p>
  </w:footnote>
  <w:footnote w:type="continuationSeparator" w:id="0">
    <w:p w14:paraId="03EFDF2A" w14:textId="77777777" w:rsidR="00D27835" w:rsidRDefault="00D27835" w:rsidP="00176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W w:w="9771" w:type="dxa"/>
      <w:tblBorders>
        <w:top w:val="single" w:sz="8" w:space="0" w:color="046B99"/>
        <w:left w:val="single" w:sz="8" w:space="0" w:color="046B99"/>
        <w:bottom w:val="single" w:sz="8" w:space="0" w:color="046B99"/>
        <w:right w:val="single" w:sz="8" w:space="0" w:color="046B99"/>
        <w:insideH w:val="single" w:sz="8" w:space="0" w:color="046B99"/>
        <w:insideV w:val="single" w:sz="8" w:space="0" w:color="046B99"/>
      </w:tblBorders>
      <w:tblLayout w:type="fixed"/>
      <w:tblLook w:val="04A0" w:firstRow="1" w:lastRow="0" w:firstColumn="1" w:lastColumn="0" w:noHBand="0" w:noVBand="1"/>
    </w:tblPr>
    <w:tblGrid>
      <w:gridCol w:w="2551"/>
      <w:gridCol w:w="2268"/>
      <w:gridCol w:w="4952"/>
    </w:tblGrid>
    <w:tr w:rsidR="004A5F98" w14:paraId="4122C957" w14:textId="77777777" w:rsidTr="00E63B9F">
      <w:trPr>
        <w:trHeight w:val="567"/>
      </w:trPr>
      <w:tc>
        <w:tcPr>
          <w:tcW w:w="2551" w:type="dxa"/>
          <w:vMerge w:val="restart"/>
          <w:tcBorders>
            <w:right w:val="nil"/>
          </w:tcBorders>
          <w:shd w:val="clear" w:color="auto" w:fill="046B99"/>
        </w:tcPr>
        <w:p w14:paraId="02FB0A5D" w14:textId="77777777" w:rsidR="004A5F98" w:rsidRPr="007D3A3B" w:rsidRDefault="004A5F98" w:rsidP="004A5F98">
          <w:pPr>
            <w:pStyle w:val="a5"/>
            <w:jc w:val="both"/>
            <w:rPr>
              <w:lang w:eastAsia="zh-CN"/>
            </w:rPr>
          </w:pPr>
          <w:r>
            <w:rPr>
              <w:rFonts w:hint="eastAsia"/>
              <w:noProof/>
            </w:rPr>
            <w:drawing>
              <wp:anchor distT="0" distB="0" distL="114300" distR="114300" simplePos="0" relativeHeight="251697664" behindDoc="0" locked="0" layoutInCell="1" allowOverlap="1" wp14:anchorId="35AC06E7" wp14:editId="239199FF">
                <wp:simplePos x="0" y="0"/>
                <wp:positionH relativeFrom="column">
                  <wp:posOffset>121920</wp:posOffset>
                </wp:positionH>
                <wp:positionV relativeFrom="paragraph">
                  <wp:posOffset>133350</wp:posOffset>
                </wp:positionV>
                <wp:extent cx="1258570" cy="461645"/>
                <wp:effectExtent l="0" t="0" r="0" b="0"/>
                <wp:wrapNone/>
                <wp:docPr id="203108385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83854" name="图片 3"/>
                        <pic:cNvPicPr/>
                      </pic:nvPicPr>
                      <pic:blipFill>
                        <a:blip r:embed="rId1">
                          <a:extLst>
                            <a:ext uri="{28A0092B-C50C-407E-A947-70E740481C1C}">
                              <a14:useLocalDpi xmlns:a14="http://schemas.microsoft.com/office/drawing/2010/main" val="0"/>
                            </a:ext>
                          </a:extLst>
                        </a:blip>
                        <a:stretch>
                          <a:fillRect/>
                        </a:stretch>
                      </pic:blipFill>
                      <pic:spPr>
                        <a:xfrm>
                          <a:off x="0" y="0"/>
                          <a:ext cx="1258570" cy="461645"/>
                        </a:xfrm>
                        <a:prstGeom prst="rect">
                          <a:avLst/>
                        </a:prstGeom>
                      </pic:spPr>
                    </pic:pic>
                  </a:graphicData>
                </a:graphic>
                <wp14:sizeRelH relativeFrom="margin">
                  <wp14:pctWidth>0</wp14:pctWidth>
                </wp14:sizeRelH>
                <wp14:sizeRelV relativeFrom="margin">
                  <wp14:pctHeight>0</wp14:pctHeight>
                </wp14:sizeRelV>
              </wp:anchor>
            </w:drawing>
          </w:r>
        </w:p>
      </w:tc>
      <w:tc>
        <w:tcPr>
          <w:tcW w:w="2268" w:type="dxa"/>
          <w:vMerge w:val="restart"/>
          <w:tcBorders>
            <w:left w:val="nil"/>
          </w:tcBorders>
          <w:shd w:val="clear" w:color="auto" w:fill="046B99"/>
        </w:tcPr>
        <w:p w14:paraId="73C94A34" w14:textId="77777777" w:rsidR="004A5F98" w:rsidRDefault="004A5F98" w:rsidP="004A5F98">
          <w:pPr>
            <w:pStyle w:val="a5"/>
            <w:jc w:val="both"/>
            <w:rPr>
              <w:rFonts w:cs="Calibri"/>
              <w:b/>
              <w:bCs/>
              <w:sz w:val="24"/>
            </w:rPr>
          </w:pPr>
          <w:r>
            <w:rPr>
              <w:rFonts w:hint="eastAsia"/>
              <w:noProof/>
            </w:rPr>
            <w:drawing>
              <wp:anchor distT="0" distB="0" distL="114300" distR="114300" simplePos="0" relativeHeight="251698688" behindDoc="0" locked="0" layoutInCell="1" allowOverlap="1" wp14:anchorId="23CD8974" wp14:editId="1F1EFB5D">
                <wp:simplePos x="0" y="0"/>
                <wp:positionH relativeFrom="column">
                  <wp:posOffset>191135</wp:posOffset>
                </wp:positionH>
                <wp:positionV relativeFrom="paragraph">
                  <wp:posOffset>265430</wp:posOffset>
                </wp:positionV>
                <wp:extent cx="349250" cy="209550"/>
                <wp:effectExtent l="0" t="0" r="0" b="0"/>
                <wp:wrapNone/>
                <wp:docPr id="19057395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9250" cy="209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740F">
            <w:rPr>
              <w:rFonts w:cs="Calibri" w:hint="eastAsia"/>
              <w:b/>
              <w:bCs/>
              <w:noProof/>
            </w:rPr>
            <w:drawing>
              <wp:anchor distT="0" distB="0" distL="114300" distR="114300" simplePos="0" relativeHeight="251699712" behindDoc="0" locked="0" layoutInCell="1" allowOverlap="1" wp14:anchorId="029DD88F" wp14:editId="7C899B25">
                <wp:simplePos x="0" y="0"/>
                <wp:positionH relativeFrom="column">
                  <wp:posOffset>743585</wp:posOffset>
                </wp:positionH>
                <wp:positionV relativeFrom="paragraph">
                  <wp:posOffset>265430</wp:posOffset>
                </wp:positionV>
                <wp:extent cx="349250" cy="209550"/>
                <wp:effectExtent l="0" t="0" r="0" b="0"/>
                <wp:wrapNone/>
                <wp:docPr id="44399735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49250"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52" w:type="dxa"/>
          <w:vAlign w:val="center"/>
        </w:tcPr>
        <w:p w14:paraId="0C30A47B" w14:textId="33B3955D" w:rsidR="004A5F98" w:rsidRPr="005E1959" w:rsidRDefault="007E25DC" w:rsidP="00D80AF8">
          <w:pPr>
            <w:pStyle w:val="a5"/>
            <w:spacing w:after="0"/>
            <w:jc w:val="both"/>
            <w:rPr>
              <w:rFonts w:cs="Calibri"/>
              <w:b/>
              <w:bCs/>
              <w:sz w:val="24"/>
            </w:rPr>
          </w:pPr>
          <w:r>
            <w:rPr>
              <w:rFonts w:ascii="Calibri" w:hAnsi="Calibri" w:cs="Calibri" w:hint="eastAsia"/>
              <w:b/>
              <w:bCs/>
              <w:sz w:val="24"/>
            </w:rPr>
            <w:t>CONTACT US</w:t>
          </w:r>
        </w:p>
      </w:tc>
    </w:tr>
    <w:tr w:rsidR="004A5F98" w14:paraId="176FC382" w14:textId="77777777" w:rsidTr="00E63B9F">
      <w:trPr>
        <w:trHeight w:val="567"/>
      </w:trPr>
      <w:tc>
        <w:tcPr>
          <w:tcW w:w="2551" w:type="dxa"/>
          <w:vMerge/>
          <w:tcBorders>
            <w:right w:val="nil"/>
          </w:tcBorders>
          <w:shd w:val="clear" w:color="auto" w:fill="046B99"/>
        </w:tcPr>
        <w:p w14:paraId="6E92F375" w14:textId="77777777" w:rsidR="004A5F98" w:rsidRDefault="004A5F98" w:rsidP="004A5F98">
          <w:pPr>
            <w:pStyle w:val="a5"/>
            <w:jc w:val="both"/>
          </w:pPr>
        </w:p>
      </w:tc>
      <w:tc>
        <w:tcPr>
          <w:tcW w:w="2268" w:type="dxa"/>
          <w:vMerge/>
          <w:tcBorders>
            <w:left w:val="nil"/>
          </w:tcBorders>
          <w:shd w:val="clear" w:color="auto" w:fill="046B99"/>
        </w:tcPr>
        <w:p w14:paraId="1692BC14" w14:textId="77777777" w:rsidR="004A5F98" w:rsidRPr="005E1959" w:rsidRDefault="004A5F98" w:rsidP="004A5F98">
          <w:pPr>
            <w:pStyle w:val="a5"/>
            <w:jc w:val="both"/>
            <w:rPr>
              <w:rFonts w:cs="Calibri"/>
              <w:sz w:val="24"/>
            </w:rPr>
          </w:pPr>
        </w:p>
      </w:tc>
      <w:tc>
        <w:tcPr>
          <w:tcW w:w="4952" w:type="dxa"/>
          <w:vAlign w:val="center"/>
        </w:tcPr>
        <w:p w14:paraId="16460663" w14:textId="77777777" w:rsidR="004A5F98" w:rsidRPr="005E1959" w:rsidRDefault="004A5F98" w:rsidP="00D80AF8">
          <w:pPr>
            <w:pStyle w:val="a5"/>
            <w:spacing w:after="0" w:line="0" w:lineRule="atLeast"/>
            <w:jc w:val="both"/>
            <w:rPr>
              <w:rFonts w:cs="Calibri"/>
              <w:sz w:val="24"/>
            </w:rPr>
          </w:pPr>
          <w:r w:rsidRPr="005E1959">
            <w:rPr>
              <w:rFonts w:cs="Calibri" w:hint="eastAsia"/>
              <w:sz w:val="24"/>
            </w:rPr>
            <w:t>enquiries@</w:t>
          </w:r>
          <w:r>
            <w:rPr>
              <w:rFonts w:cs="Calibri" w:hint="eastAsia"/>
              <w:sz w:val="24"/>
            </w:rPr>
            <w:t>bidcarbon.org</w:t>
          </w:r>
        </w:p>
      </w:tc>
    </w:tr>
  </w:tbl>
  <w:p w14:paraId="2E7C1A04" w14:textId="649E1427" w:rsidR="00D81782" w:rsidRPr="004A5F98" w:rsidRDefault="00D81782" w:rsidP="002A4136">
    <w:pPr>
      <w:pStyle w:val="Legislativesecrecy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248D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C493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9DCC1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1C0D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62E1B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6CE6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001A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5652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052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7ADC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F745BC2"/>
    <w:multiLevelType w:val="multilevel"/>
    <w:tmpl w:val="E5E89F92"/>
    <w:lvl w:ilvl="0">
      <w:start w:val="1"/>
      <w:numFmt w:val="bullet"/>
      <w:pStyle w:val="a"/>
      <w:lvlText w:val=""/>
      <w:lvlJc w:val="left"/>
      <w:pPr>
        <w:ind w:left="369" w:hanging="369"/>
      </w:pPr>
      <w:rPr>
        <w:rFonts w:ascii="Symbol" w:hAnsi="Symbol" w:hint="default"/>
      </w:rPr>
    </w:lvl>
    <w:lvl w:ilvl="1">
      <w:start w:val="1"/>
      <w:numFmt w:val="none"/>
      <w:pStyle w:val="2"/>
      <w:lvlText w:val="-"/>
      <w:lvlJc w:val="left"/>
      <w:pPr>
        <w:ind w:left="737" w:hanging="368"/>
      </w:pPr>
    </w:lvl>
    <w:lvl w:ilvl="2">
      <w:start w:val="1"/>
      <w:numFmt w:val="none"/>
      <w:pStyle w:val="3"/>
      <w:lvlText w:val=":"/>
      <w:lvlJc w:val="left"/>
      <w:pPr>
        <w:ind w:left="1106" w:hanging="369"/>
      </w:pPr>
    </w:lvl>
    <w:lvl w:ilvl="3">
      <w:start w:val="1"/>
      <w:numFmt w:val="none"/>
      <w:pStyle w:val="4"/>
      <w:lvlText w:val=""/>
      <w:lvlJc w:val="left"/>
      <w:pPr>
        <w:ind w:left="1474" w:hanging="368"/>
      </w:pPr>
      <w:rPr>
        <w:color w:val="auto"/>
      </w:rPr>
    </w:lvl>
    <w:lvl w:ilvl="4">
      <w:start w:val="1"/>
      <w:numFmt w:val="none"/>
      <w:pStyle w:val="5"/>
      <w:lvlText w:val=""/>
      <w:lvlJc w:val="left"/>
      <w:pPr>
        <w:ind w:left="1800" w:hanging="360"/>
      </w:pPr>
      <w:rPr>
        <w:color w:val="auto"/>
      </w:rPr>
    </w:lvl>
    <w:lvl w:ilvl="5">
      <w:start w:val="1"/>
      <w:numFmt w:val="none"/>
      <w:lvlText w:val=""/>
      <w:lvlJc w:val="left"/>
      <w:pPr>
        <w:ind w:left="2160" w:hanging="360"/>
      </w:pPr>
      <w:rPr>
        <w:color w:val="auto"/>
      </w:rPr>
    </w:lvl>
    <w:lvl w:ilvl="6">
      <w:start w:val="1"/>
      <w:numFmt w:val="none"/>
      <w:lvlText w:val=""/>
      <w:lvlJc w:val="left"/>
      <w:pPr>
        <w:ind w:left="2520" w:hanging="360"/>
      </w:pPr>
      <w:rPr>
        <w:color w:val="auto"/>
      </w:rPr>
    </w:lvl>
    <w:lvl w:ilvl="7">
      <w:start w:val="1"/>
      <w:numFmt w:val="none"/>
      <w:lvlText w:val=""/>
      <w:lvlJc w:val="left"/>
      <w:pPr>
        <w:ind w:left="2880" w:hanging="360"/>
      </w:pPr>
      <w:rPr>
        <w:color w:val="auto"/>
      </w:rPr>
    </w:lvl>
    <w:lvl w:ilvl="8">
      <w:start w:val="1"/>
      <w:numFmt w:val="none"/>
      <w:lvlText w:val=""/>
      <w:lvlJc w:val="left"/>
      <w:pPr>
        <w:ind w:left="3240" w:hanging="360"/>
      </w:pPr>
      <w:rPr>
        <w:color w:val="auto"/>
      </w:rPr>
    </w:lvl>
  </w:abstractNum>
  <w:abstractNum w:abstractNumId="16"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098052F"/>
    <w:multiLevelType w:val="multilevel"/>
    <w:tmpl w:val="473EA67C"/>
    <w:lvl w:ilvl="0">
      <w:start w:val="1"/>
      <w:numFmt w:val="decimal"/>
      <w:pStyle w:val="a0"/>
      <w:lvlText w:val="%1."/>
      <w:lvlJc w:val="left"/>
      <w:pPr>
        <w:ind w:left="369" w:hanging="369"/>
      </w:pPr>
    </w:lvl>
    <w:lvl w:ilvl="1">
      <w:start w:val="1"/>
      <w:numFmt w:val="none"/>
      <w:lvlText w:val="-"/>
      <w:lvlJc w:val="left"/>
      <w:pPr>
        <w:ind w:left="737" w:hanging="368"/>
      </w:pPr>
    </w:lvl>
    <w:lvl w:ilvl="2">
      <w:start w:val="1"/>
      <w:numFmt w:val="none"/>
      <w:lvlText w:val=":"/>
      <w:lvlJc w:val="left"/>
      <w:pPr>
        <w:ind w:left="1106" w:hanging="369"/>
      </w:pPr>
    </w:lvl>
    <w:lvl w:ilvl="3">
      <w:start w:val="1"/>
      <w:numFmt w:val="none"/>
      <w:lvlText w:val=""/>
      <w:lvlJc w:val="left"/>
      <w:pPr>
        <w:ind w:left="1474" w:hanging="368"/>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2" w15:restartNumberingAfterBreak="0">
    <w:nsid w:val="3EF61F19"/>
    <w:multiLevelType w:val="hybridMultilevel"/>
    <w:tmpl w:val="142C2760"/>
    <w:lvl w:ilvl="0" w:tplc="F5404E3E">
      <w:start w:val="1"/>
      <w:numFmt w:val="lowerLetter"/>
      <w:lvlText w:val="(%1)"/>
      <w:lvlJc w:val="left"/>
      <w:pPr>
        <w:ind w:left="1080" w:hanging="360"/>
      </w:pPr>
      <w:rPr>
        <w:rFonts w:ascii="Arial" w:eastAsia="Calibri" w:hAnsi="Arial" w:cs="Arial"/>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3"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8" w15:restartNumberingAfterBreak="0">
    <w:nsid w:val="5CFD18CA"/>
    <w:multiLevelType w:val="multilevel"/>
    <w:tmpl w:val="E9982BDA"/>
    <w:lvl w:ilvl="0">
      <w:start w:val="1"/>
      <w:numFmt w:val="decimal"/>
      <w:pStyle w:val="CERnumbering"/>
      <w:lvlText w:val="%1."/>
      <w:lvlJc w:val="left"/>
      <w:pPr>
        <w:ind w:left="360" w:hanging="360"/>
      </w:pPr>
      <w:rPr>
        <w:rFonts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7D11C94"/>
    <w:multiLevelType w:val="hybridMultilevel"/>
    <w:tmpl w:val="458A0B0E"/>
    <w:lvl w:ilvl="0" w:tplc="2A50910E">
      <w:start w:val="9"/>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30"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7512DB4"/>
    <w:multiLevelType w:val="hybridMultilevel"/>
    <w:tmpl w:val="87BCA924"/>
    <w:lvl w:ilvl="0" w:tplc="D47077BC">
      <w:start w:val="1"/>
      <w:numFmt w:val="lowerLetter"/>
      <w:lvlText w:val="(%1)"/>
      <w:lvlJc w:val="left"/>
      <w:pPr>
        <w:ind w:left="1080" w:hanging="360"/>
      </w:pPr>
    </w:lvl>
    <w:lvl w:ilvl="1" w:tplc="0C09001B">
      <w:start w:val="1"/>
      <w:numFmt w:val="lowerRoman"/>
      <w:lvlText w:val="%2."/>
      <w:lvlJc w:val="righ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2" w15:restartNumberingAfterBreak="0">
    <w:nsid w:val="79DB23C0"/>
    <w:multiLevelType w:val="multilevel"/>
    <w:tmpl w:val="CE947A96"/>
    <w:name w:val="CERBullets22"/>
    <w:lvl w:ilvl="0">
      <w:start w:val="1"/>
      <w:numFmt w:val="bullet"/>
      <w:pStyle w:val="CERbullets"/>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82244481">
    <w:abstractNumId w:val="25"/>
  </w:num>
  <w:num w:numId="2" w16cid:durableId="55014474">
    <w:abstractNumId w:val="17"/>
  </w:num>
  <w:num w:numId="3" w16cid:durableId="1519849921">
    <w:abstractNumId w:val="18"/>
  </w:num>
  <w:num w:numId="4" w16cid:durableId="803935524">
    <w:abstractNumId w:val="12"/>
  </w:num>
  <w:num w:numId="5" w16cid:durableId="1118404042">
    <w:abstractNumId w:val="13"/>
  </w:num>
  <w:num w:numId="6" w16cid:durableId="366224768">
    <w:abstractNumId w:val="21"/>
  </w:num>
  <w:num w:numId="7" w16cid:durableId="246816535">
    <w:abstractNumId w:val="27"/>
  </w:num>
  <w:num w:numId="8" w16cid:durableId="1544903909">
    <w:abstractNumId w:val="13"/>
  </w:num>
  <w:num w:numId="9" w16cid:durableId="1899395802">
    <w:abstractNumId w:val="9"/>
  </w:num>
  <w:num w:numId="10" w16cid:durableId="293365638">
    <w:abstractNumId w:val="7"/>
  </w:num>
  <w:num w:numId="11" w16cid:durableId="358433511">
    <w:abstractNumId w:val="6"/>
  </w:num>
  <w:num w:numId="12" w16cid:durableId="1986082798">
    <w:abstractNumId w:val="5"/>
  </w:num>
  <w:num w:numId="13" w16cid:durableId="1357661516">
    <w:abstractNumId w:val="4"/>
  </w:num>
  <w:num w:numId="14" w16cid:durableId="1264531868">
    <w:abstractNumId w:val="8"/>
  </w:num>
  <w:num w:numId="15" w16cid:durableId="127430871">
    <w:abstractNumId w:val="3"/>
  </w:num>
  <w:num w:numId="16" w16cid:durableId="1635405546">
    <w:abstractNumId w:val="2"/>
  </w:num>
  <w:num w:numId="17" w16cid:durableId="744962506">
    <w:abstractNumId w:val="1"/>
  </w:num>
  <w:num w:numId="18" w16cid:durableId="956522364">
    <w:abstractNumId w:val="0"/>
  </w:num>
  <w:num w:numId="19" w16cid:durableId="1277642821">
    <w:abstractNumId w:val="11"/>
  </w:num>
  <w:num w:numId="20" w16cid:durableId="1010134646">
    <w:abstractNumId w:val="14"/>
  </w:num>
  <w:num w:numId="21" w16cid:durableId="611858071">
    <w:abstractNumId w:val="32"/>
  </w:num>
  <w:num w:numId="22" w16cid:durableId="785544778">
    <w:abstractNumId w:val="10"/>
  </w:num>
  <w:num w:numId="23" w16cid:durableId="199559161">
    <w:abstractNumId w:val="33"/>
  </w:num>
  <w:num w:numId="24" w16cid:durableId="1190144479">
    <w:abstractNumId w:val="23"/>
  </w:num>
  <w:num w:numId="25" w16cid:durableId="1965228579">
    <w:abstractNumId w:val="19"/>
  </w:num>
  <w:num w:numId="26" w16cid:durableId="1565794224">
    <w:abstractNumId w:val="16"/>
  </w:num>
  <w:num w:numId="27" w16cid:durableId="1250891461">
    <w:abstractNumId w:val="30"/>
  </w:num>
  <w:num w:numId="28" w16cid:durableId="879826316">
    <w:abstractNumId w:val="26"/>
  </w:num>
  <w:num w:numId="29" w16cid:durableId="1960721564">
    <w:abstractNumId w:val="24"/>
  </w:num>
  <w:num w:numId="30" w16cid:durableId="1194071246">
    <w:abstractNumId w:val="28"/>
  </w:num>
  <w:num w:numId="31" w16cid:durableId="4919189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62186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46286689">
    <w:abstractNumId w:val="3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51837914">
    <w:abstractNumId w:val="2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28748760">
    <w:abstractNumId w:val="22"/>
    <w:lvlOverride w:ilvl="0">
      <w:startOverride w:val="1"/>
    </w:lvlOverride>
    <w:lvlOverride w:ilvl="1"/>
    <w:lvlOverride w:ilvl="2"/>
    <w:lvlOverride w:ilvl="3"/>
    <w:lvlOverride w:ilvl="4"/>
    <w:lvlOverride w:ilvl="5"/>
    <w:lvlOverride w:ilvl="6"/>
    <w:lvlOverride w:ilvl="7"/>
    <w:lvlOverride w:ilvl="8"/>
  </w:num>
  <w:num w:numId="36" w16cid:durableId="7239851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51782903">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o:colormru v:ext="edit" colors="#006ea6"/>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8DE"/>
    <w:rsid w:val="00004124"/>
    <w:rsid w:val="00016A76"/>
    <w:rsid w:val="00022A73"/>
    <w:rsid w:val="00031090"/>
    <w:rsid w:val="0003582F"/>
    <w:rsid w:val="000378B6"/>
    <w:rsid w:val="00047F85"/>
    <w:rsid w:val="000538F2"/>
    <w:rsid w:val="000678AA"/>
    <w:rsid w:val="000906DE"/>
    <w:rsid w:val="000A0668"/>
    <w:rsid w:val="000A0DD5"/>
    <w:rsid w:val="000B2225"/>
    <w:rsid w:val="000D4BD5"/>
    <w:rsid w:val="000D5EBF"/>
    <w:rsid w:val="000D6AD1"/>
    <w:rsid w:val="000E5A13"/>
    <w:rsid w:val="000F2F61"/>
    <w:rsid w:val="000F6B44"/>
    <w:rsid w:val="00112E29"/>
    <w:rsid w:val="00127183"/>
    <w:rsid w:val="001276AA"/>
    <w:rsid w:val="00156ACE"/>
    <w:rsid w:val="001651F7"/>
    <w:rsid w:val="00176871"/>
    <w:rsid w:val="00176C28"/>
    <w:rsid w:val="001843FD"/>
    <w:rsid w:val="00193A6C"/>
    <w:rsid w:val="00197F43"/>
    <w:rsid w:val="001A4877"/>
    <w:rsid w:val="001B66AA"/>
    <w:rsid w:val="001C6446"/>
    <w:rsid w:val="001D5E01"/>
    <w:rsid w:val="002118E5"/>
    <w:rsid w:val="00216E5D"/>
    <w:rsid w:val="0021782A"/>
    <w:rsid w:val="00235B98"/>
    <w:rsid w:val="002368DE"/>
    <w:rsid w:val="002622E9"/>
    <w:rsid w:val="002656A9"/>
    <w:rsid w:val="0028235B"/>
    <w:rsid w:val="0028581A"/>
    <w:rsid w:val="00285D10"/>
    <w:rsid w:val="00290E3D"/>
    <w:rsid w:val="002915FD"/>
    <w:rsid w:val="0029262D"/>
    <w:rsid w:val="002A4136"/>
    <w:rsid w:val="002A7EA6"/>
    <w:rsid w:val="002C2F85"/>
    <w:rsid w:val="002C427B"/>
    <w:rsid w:val="002F1986"/>
    <w:rsid w:val="00303563"/>
    <w:rsid w:val="00337CCB"/>
    <w:rsid w:val="003453F7"/>
    <w:rsid w:val="00365CD3"/>
    <w:rsid w:val="00370CE8"/>
    <w:rsid w:val="00371059"/>
    <w:rsid w:val="0038645A"/>
    <w:rsid w:val="00386A94"/>
    <w:rsid w:val="003A0D22"/>
    <w:rsid w:val="003A5739"/>
    <w:rsid w:val="003A760B"/>
    <w:rsid w:val="003F3244"/>
    <w:rsid w:val="00407DD0"/>
    <w:rsid w:val="00420BF6"/>
    <w:rsid w:val="00424CC6"/>
    <w:rsid w:val="00426275"/>
    <w:rsid w:val="004559EF"/>
    <w:rsid w:val="00465287"/>
    <w:rsid w:val="00466A0D"/>
    <w:rsid w:val="00471682"/>
    <w:rsid w:val="00480154"/>
    <w:rsid w:val="00480E39"/>
    <w:rsid w:val="00494F07"/>
    <w:rsid w:val="004A581F"/>
    <w:rsid w:val="004A5F98"/>
    <w:rsid w:val="004B6AF5"/>
    <w:rsid w:val="004C6DF4"/>
    <w:rsid w:val="004D3063"/>
    <w:rsid w:val="004D3F8B"/>
    <w:rsid w:val="00516089"/>
    <w:rsid w:val="0052457E"/>
    <w:rsid w:val="005430A4"/>
    <w:rsid w:val="00572617"/>
    <w:rsid w:val="005812D0"/>
    <w:rsid w:val="00585D42"/>
    <w:rsid w:val="005A266D"/>
    <w:rsid w:val="005C1D9C"/>
    <w:rsid w:val="00602E93"/>
    <w:rsid w:val="0061010A"/>
    <w:rsid w:val="00622DA5"/>
    <w:rsid w:val="00626B03"/>
    <w:rsid w:val="00632E89"/>
    <w:rsid w:val="006423DF"/>
    <w:rsid w:val="006530B0"/>
    <w:rsid w:val="0065750A"/>
    <w:rsid w:val="00662342"/>
    <w:rsid w:val="00662ED8"/>
    <w:rsid w:val="00674932"/>
    <w:rsid w:val="00680B5A"/>
    <w:rsid w:val="006A1906"/>
    <w:rsid w:val="006A37D7"/>
    <w:rsid w:val="006A7A4E"/>
    <w:rsid w:val="006B64D5"/>
    <w:rsid w:val="006E20EA"/>
    <w:rsid w:val="006E42E6"/>
    <w:rsid w:val="006E6B62"/>
    <w:rsid w:val="00724B10"/>
    <w:rsid w:val="0076397A"/>
    <w:rsid w:val="00767FAB"/>
    <w:rsid w:val="007773D1"/>
    <w:rsid w:val="007813EC"/>
    <w:rsid w:val="00790E79"/>
    <w:rsid w:val="0079676E"/>
    <w:rsid w:val="007A5CF8"/>
    <w:rsid w:val="007B31E7"/>
    <w:rsid w:val="007C310C"/>
    <w:rsid w:val="007C7046"/>
    <w:rsid w:val="007E25DC"/>
    <w:rsid w:val="007E52E0"/>
    <w:rsid w:val="007E574D"/>
    <w:rsid w:val="00805956"/>
    <w:rsid w:val="00816D8B"/>
    <w:rsid w:val="00825C5F"/>
    <w:rsid w:val="00826A84"/>
    <w:rsid w:val="00854225"/>
    <w:rsid w:val="00885AB6"/>
    <w:rsid w:val="00890472"/>
    <w:rsid w:val="008A4F2A"/>
    <w:rsid w:val="008B0D79"/>
    <w:rsid w:val="008C63A1"/>
    <w:rsid w:val="008E0064"/>
    <w:rsid w:val="008E2AC3"/>
    <w:rsid w:val="008E6CE0"/>
    <w:rsid w:val="008F548E"/>
    <w:rsid w:val="00906DED"/>
    <w:rsid w:val="00912734"/>
    <w:rsid w:val="00924947"/>
    <w:rsid w:val="00930D2E"/>
    <w:rsid w:val="0093226C"/>
    <w:rsid w:val="009515F6"/>
    <w:rsid w:val="009757EB"/>
    <w:rsid w:val="009801E4"/>
    <w:rsid w:val="0099025A"/>
    <w:rsid w:val="009A2199"/>
    <w:rsid w:val="009A2E7F"/>
    <w:rsid w:val="009B3BB4"/>
    <w:rsid w:val="009C30B4"/>
    <w:rsid w:val="009D01EB"/>
    <w:rsid w:val="009D4D75"/>
    <w:rsid w:val="00A01DE8"/>
    <w:rsid w:val="00A114F2"/>
    <w:rsid w:val="00A41A11"/>
    <w:rsid w:val="00A44C0C"/>
    <w:rsid w:val="00A50A9D"/>
    <w:rsid w:val="00A513FE"/>
    <w:rsid w:val="00AB04A4"/>
    <w:rsid w:val="00AB1D66"/>
    <w:rsid w:val="00AB2887"/>
    <w:rsid w:val="00AD3999"/>
    <w:rsid w:val="00AD649E"/>
    <w:rsid w:val="00AF5F77"/>
    <w:rsid w:val="00B44479"/>
    <w:rsid w:val="00B832A4"/>
    <w:rsid w:val="00BA3D6B"/>
    <w:rsid w:val="00BD421A"/>
    <w:rsid w:val="00BD5ED5"/>
    <w:rsid w:val="00C067A3"/>
    <w:rsid w:val="00C06FDE"/>
    <w:rsid w:val="00C3122E"/>
    <w:rsid w:val="00C33420"/>
    <w:rsid w:val="00C40251"/>
    <w:rsid w:val="00C40CF0"/>
    <w:rsid w:val="00C47609"/>
    <w:rsid w:val="00C86B48"/>
    <w:rsid w:val="00CA3DBC"/>
    <w:rsid w:val="00CA63D2"/>
    <w:rsid w:val="00CB34F3"/>
    <w:rsid w:val="00CB7ED6"/>
    <w:rsid w:val="00D07937"/>
    <w:rsid w:val="00D27835"/>
    <w:rsid w:val="00D309BD"/>
    <w:rsid w:val="00D435BB"/>
    <w:rsid w:val="00D573F6"/>
    <w:rsid w:val="00D80AF8"/>
    <w:rsid w:val="00D81782"/>
    <w:rsid w:val="00DB01FD"/>
    <w:rsid w:val="00DB16FB"/>
    <w:rsid w:val="00DC3A30"/>
    <w:rsid w:val="00DD61F7"/>
    <w:rsid w:val="00DF0F4C"/>
    <w:rsid w:val="00DF1278"/>
    <w:rsid w:val="00E46445"/>
    <w:rsid w:val="00E72338"/>
    <w:rsid w:val="00E770EC"/>
    <w:rsid w:val="00E94FFF"/>
    <w:rsid w:val="00E956A9"/>
    <w:rsid w:val="00EA223C"/>
    <w:rsid w:val="00EA7A28"/>
    <w:rsid w:val="00EC708C"/>
    <w:rsid w:val="00F00B9C"/>
    <w:rsid w:val="00F1084B"/>
    <w:rsid w:val="00F2767A"/>
    <w:rsid w:val="00F30F04"/>
    <w:rsid w:val="00F32404"/>
    <w:rsid w:val="00F67F4E"/>
    <w:rsid w:val="00F70B17"/>
    <w:rsid w:val="00F71D97"/>
    <w:rsid w:val="00F76419"/>
    <w:rsid w:val="00F8070C"/>
    <w:rsid w:val="00F94571"/>
    <w:rsid w:val="00FA7635"/>
    <w:rsid w:val="00FB26CE"/>
    <w:rsid w:val="00FC0CE2"/>
    <w:rsid w:val="00FC20CB"/>
    <w:rsid w:val="00FC24F5"/>
    <w:rsid w:val="00FC5CAA"/>
    <w:rsid w:val="00FC659D"/>
    <w:rsid w:val="00FD2635"/>
    <w:rsid w:val="00FF589E"/>
  </w:rsids>
  <m:mathPr>
    <m:mathFont m:val="Cambria Math"/>
    <m:brkBin m:val="before"/>
    <m:brkBinSub m:val="--"/>
    <m:smallFrac m:val="0"/>
    <m:dispDef m:val="0"/>
    <m:lMargin m:val="0"/>
    <m:rMargin m:val="0"/>
    <m:defJc m:val="centerGroup"/>
    <m:wrapRight/>
    <m:intLim m:val="subSup"/>
    <m:naryLim m:val="subSup"/>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06ea6"/>
    </o:shapedefaults>
    <o:shapelayout v:ext="edit">
      <o:idmap v:ext="edit" data="2"/>
    </o:shapelayout>
  </w:shapeDefaults>
  <w:decimalSymbol w:val="."/>
  <w:listSeparator w:val=","/>
  <w14:docId w14:val="6BD93BAF"/>
  <w15:docId w15:val="{35533512-E24C-461D-8093-8629F0F42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EastAs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3" w:qFormat="1"/>
    <w:lsdException w:name="heading 3" w:uiPriority="4"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qFormat="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uiPriority w:val="8"/>
    <w:qFormat/>
    <w:rsid w:val="00FA7635"/>
    <w:pPr>
      <w:spacing w:after="200"/>
    </w:pPr>
    <w:rPr>
      <w:rFonts w:asciiTheme="minorHAnsi" w:hAnsiTheme="minorHAnsi" w:cstheme="minorHAnsi"/>
      <w:color w:val="000000" w:themeColor="text1"/>
      <w:sz w:val="22"/>
      <w:szCs w:val="24"/>
      <w:lang w:eastAsia="en-US"/>
    </w:rPr>
  </w:style>
  <w:style w:type="paragraph" w:styleId="1">
    <w:name w:val="heading 1"/>
    <w:aliases w:val="CER Heading 1,ERAC Heading 1"/>
    <w:next w:val="20"/>
    <w:link w:val="10"/>
    <w:uiPriority w:val="2"/>
    <w:qFormat/>
    <w:rsid w:val="00FA7635"/>
    <w:pPr>
      <w:keepNext/>
      <w:spacing w:before="280" w:after="200"/>
      <w:outlineLvl w:val="0"/>
    </w:pPr>
    <w:rPr>
      <w:rFonts w:asciiTheme="minorHAnsi" w:eastAsia="Times New Roman" w:hAnsiTheme="minorHAnsi" w:cstheme="minorHAnsi"/>
      <w:b/>
      <w:bCs/>
      <w:color w:val="005874"/>
      <w:kern w:val="32"/>
      <w:sz w:val="40"/>
      <w:szCs w:val="24"/>
      <w:lang w:eastAsia="en-US"/>
    </w:rPr>
  </w:style>
  <w:style w:type="paragraph" w:styleId="20">
    <w:name w:val="heading 2"/>
    <w:aliases w:val="CER Heading 2,ERAC Heading 2"/>
    <w:basedOn w:val="a1"/>
    <w:next w:val="a1"/>
    <w:link w:val="21"/>
    <w:uiPriority w:val="3"/>
    <w:qFormat/>
    <w:rsid w:val="00FA7635"/>
    <w:pPr>
      <w:keepNext/>
      <w:keepLines/>
      <w:spacing w:before="280"/>
      <w:outlineLvl w:val="1"/>
    </w:pPr>
    <w:rPr>
      <w:rFonts w:eastAsia="Times New Roman"/>
      <w:b/>
      <w:bCs/>
      <w:color w:val="005874"/>
      <w:sz w:val="30"/>
      <w:szCs w:val="26"/>
    </w:rPr>
  </w:style>
  <w:style w:type="paragraph" w:styleId="30">
    <w:name w:val="heading 3"/>
    <w:aliases w:val="CER Heading 3,ERAC Heading 3"/>
    <w:next w:val="a1"/>
    <w:link w:val="31"/>
    <w:uiPriority w:val="4"/>
    <w:qFormat/>
    <w:rsid w:val="00FA7635"/>
    <w:pPr>
      <w:keepNext/>
      <w:keepLines/>
      <w:spacing w:before="240" w:after="200"/>
      <w:outlineLvl w:val="2"/>
    </w:pPr>
    <w:rPr>
      <w:rFonts w:asciiTheme="minorHAnsi" w:eastAsia="Times New Roman" w:hAnsiTheme="minorHAnsi" w:cstheme="minorHAnsi"/>
      <w:b/>
      <w:bCs/>
      <w:color w:val="005874"/>
      <w:sz w:val="25"/>
      <w:szCs w:val="24"/>
      <w:lang w:eastAsia="en-US"/>
    </w:rPr>
  </w:style>
  <w:style w:type="paragraph" w:styleId="40">
    <w:name w:val="heading 4"/>
    <w:aliases w:val="CER Heading 4"/>
    <w:basedOn w:val="a1"/>
    <w:next w:val="a1"/>
    <w:link w:val="41"/>
    <w:uiPriority w:val="5"/>
    <w:unhideWhenUsed/>
    <w:qFormat/>
    <w:rsid w:val="00FA7635"/>
    <w:pPr>
      <w:keepNext/>
      <w:spacing w:before="240"/>
      <w:outlineLvl w:val="3"/>
    </w:pPr>
    <w:rPr>
      <w:rFonts w:cstheme="minorBidi"/>
      <w:bCs/>
      <w:color w:val="005874"/>
      <w:sz w:val="25"/>
      <w:szCs w:val="28"/>
    </w:rPr>
  </w:style>
  <w:style w:type="paragraph" w:styleId="50">
    <w:name w:val="heading 5"/>
    <w:aliases w:val="CER Heading 5,ERAC Heading 5"/>
    <w:basedOn w:val="a1"/>
    <w:next w:val="a1"/>
    <w:link w:val="51"/>
    <w:uiPriority w:val="6"/>
    <w:unhideWhenUsed/>
    <w:qFormat/>
    <w:rsid w:val="00FA7635"/>
    <w:pPr>
      <w:keepNext/>
      <w:keepLines/>
      <w:spacing w:before="240"/>
      <w:outlineLvl w:val="4"/>
    </w:pPr>
    <w:rPr>
      <w:rFonts w:eastAsiaTheme="majorEastAsia" w:cstheme="majorBidi"/>
      <w:b/>
    </w:rPr>
  </w:style>
  <w:style w:type="paragraph" w:styleId="6">
    <w:name w:val="heading 6"/>
    <w:aliases w:val="CER Heading 6"/>
    <w:basedOn w:val="a1"/>
    <w:next w:val="a1"/>
    <w:link w:val="60"/>
    <w:uiPriority w:val="99"/>
    <w:unhideWhenUsed/>
    <w:rsid w:val="00674932"/>
    <w:pPr>
      <w:tabs>
        <w:tab w:val="left" w:pos="1633"/>
      </w:tabs>
      <w:spacing w:before="240"/>
      <w:outlineLvl w:val="5"/>
    </w:pPr>
    <w:rPr>
      <w:rFonts w:cstheme="minorBidi"/>
      <w:b/>
      <w:bCs/>
      <w:sz w:val="21"/>
      <w:szCs w:val="22"/>
    </w:rPr>
  </w:style>
  <w:style w:type="paragraph" w:styleId="7">
    <w:name w:val="heading 7"/>
    <w:basedOn w:val="a1"/>
    <w:next w:val="a1"/>
    <w:link w:val="70"/>
    <w:uiPriority w:val="99"/>
    <w:unhideWhenUsed/>
    <w:rsid w:val="009D4D75"/>
    <w:pPr>
      <w:keepNext/>
      <w:keepLines/>
      <w:spacing w:before="200" w:after="0"/>
      <w:outlineLvl w:val="6"/>
    </w:pPr>
    <w:rPr>
      <w:rFonts w:eastAsiaTheme="majorEastAsia" w:cstheme="majorBidi"/>
      <w:i/>
      <w:iCs/>
      <w:color w:val="404040" w:themeColor="text1" w:themeTint="BF"/>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1">
    <w:name w:val="标题 2 字符"/>
    <w:aliases w:val="CER Heading 2 字符,ERAC Heading 2 字符"/>
    <w:basedOn w:val="a2"/>
    <w:link w:val="20"/>
    <w:uiPriority w:val="3"/>
    <w:rsid w:val="00FA7635"/>
    <w:rPr>
      <w:rFonts w:asciiTheme="minorHAnsi" w:eastAsia="Times New Roman" w:hAnsiTheme="minorHAnsi" w:cstheme="minorHAnsi"/>
      <w:b/>
      <w:bCs/>
      <w:color w:val="005874"/>
      <w:sz w:val="30"/>
      <w:szCs w:val="26"/>
      <w:lang w:eastAsia="en-US"/>
    </w:rPr>
  </w:style>
  <w:style w:type="character" w:customStyle="1" w:styleId="10">
    <w:name w:val="标题 1 字符"/>
    <w:aliases w:val="CER Heading 1 字符,ERAC Heading 1 字符"/>
    <w:basedOn w:val="a2"/>
    <w:link w:val="1"/>
    <w:uiPriority w:val="2"/>
    <w:rsid w:val="00FA7635"/>
    <w:rPr>
      <w:rFonts w:asciiTheme="minorHAnsi" w:eastAsia="Times New Roman" w:hAnsiTheme="minorHAnsi" w:cstheme="minorHAnsi"/>
      <w:b/>
      <w:bCs/>
      <w:color w:val="005874"/>
      <w:kern w:val="32"/>
      <w:sz w:val="40"/>
      <w:szCs w:val="24"/>
      <w:lang w:eastAsia="en-US"/>
    </w:rPr>
  </w:style>
  <w:style w:type="character" w:customStyle="1" w:styleId="31">
    <w:name w:val="标题 3 字符"/>
    <w:aliases w:val="CER Heading 3 字符,ERAC Heading 3 字符"/>
    <w:basedOn w:val="a2"/>
    <w:link w:val="30"/>
    <w:uiPriority w:val="4"/>
    <w:rsid w:val="00FA7635"/>
    <w:rPr>
      <w:rFonts w:asciiTheme="minorHAnsi" w:eastAsia="Times New Roman" w:hAnsiTheme="minorHAnsi" w:cstheme="minorHAnsi"/>
      <w:b/>
      <w:bCs/>
      <w:color w:val="005874"/>
      <w:sz w:val="25"/>
      <w:szCs w:val="24"/>
      <w:lang w:eastAsia="en-US"/>
    </w:rPr>
  </w:style>
  <w:style w:type="character" w:customStyle="1" w:styleId="41">
    <w:name w:val="标题 4 字符"/>
    <w:aliases w:val="CER Heading 4 字符"/>
    <w:basedOn w:val="a2"/>
    <w:link w:val="40"/>
    <w:uiPriority w:val="5"/>
    <w:rsid w:val="00FA7635"/>
    <w:rPr>
      <w:rFonts w:asciiTheme="minorHAnsi" w:eastAsiaTheme="minorEastAsia" w:hAnsiTheme="minorHAnsi" w:cstheme="minorBidi"/>
      <w:bCs/>
      <w:color w:val="005874"/>
      <w:sz w:val="25"/>
      <w:szCs w:val="28"/>
      <w:lang w:eastAsia="en-US"/>
    </w:rPr>
  </w:style>
  <w:style w:type="character" w:customStyle="1" w:styleId="60">
    <w:name w:val="标题 6 字符"/>
    <w:aliases w:val="CER Heading 6 字符"/>
    <w:basedOn w:val="a2"/>
    <w:link w:val="6"/>
    <w:uiPriority w:val="99"/>
    <w:rsid w:val="00674932"/>
    <w:rPr>
      <w:rFonts w:ascii="Arial" w:eastAsiaTheme="minorEastAsia" w:hAnsi="Arial" w:cstheme="minorBidi"/>
      <w:b/>
      <w:bCs/>
      <w:color w:val="000000" w:themeColor="text1"/>
      <w:sz w:val="21"/>
      <w:szCs w:val="22"/>
      <w:lang w:val="en-US" w:eastAsia="en-US"/>
    </w:rPr>
  </w:style>
  <w:style w:type="paragraph" w:styleId="a5">
    <w:name w:val="header"/>
    <w:basedOn w:val="a1"/>
    <w:link w:val="a6"/>
    <w:uiPriority w:val="99"/>
    <w:unhideWhenUsed/>
    <w:rsid w:val="00471682"/>
    <w:pPr>
      <w:tabs>
        <w:tab w:val="center" w:pos="4320"/>
        <w:tab w:val="right" w:pos="8640"/>
      </w:tabs>
    </w:pPr>
  </w:style>
  <w:style w:type="character" w:customStyle="1" w:styleId="a6">
    <w:name w:val="页眉 字符"/>
    <w:basedOn w:val="a2"/>
    <w:link w:val="a5"/>
    <w:uiPriority w:val="99"/>
    <w:rsid w:val="002C427B"/>
    <w:rPr>
      <w:rFonts w:ascii="Arial" w:hAnsi="Arial"/>
      <w:color w:val="000000" w:themeColor="text1"/>
      <w:sz w:val="22"/>
      <w:szCs w:val="24"/>
      <w:lang w:val="en-US" w:eastAsia="en-US"/>
    </w:rPr>
  </w:style>
  <w:style w:type="paragraph" w:styleId="a7">
    <w:name w:val="footer"/>
    <w:basedOn w:val="a1"/>
    <w:link w:val="a8"/>
    <w:uiPriority w:val="99"/>
    <w:unhideWhenUsed/>
    <w:rsid w:val="00193A6C"/>
    <w:pPr>
      <w:tabs>
        <w:tab w:val="left" w:pos="2694"/>
        <w:tab w:val="left" w:pos="3969"/>
        <w:tab w:val="left" w:pos="6946"/>
        <w:tab w:val="right" w:pos="9498"/>
      </w:tabs>
      <w:ind w:left="284" w:right="242"/>
    </w:pPr>
    <w:rPr>
      <w:color w:val="005874"/>
      <w:sz w:val="16"/>
      <w:szCs w:val="16"/>
    </w:rPr>
  </w:style>
  <w:style w:type="character" w:customStyle="1" w:styleId="a8">
    <w:name w:val="页脚 字符"/>
    <w:basedOn w:val="a2"/>
    <w:link w:val="a7"/>
    <w:uiPriority w:val="99"/>
    <w:rsid w:val="00193A6C"/>
    <w:rPr>
      <w:rFonts w:asciiTheme="minorHAnsi" w:hAnsiTheme="minorHAnsi" w:cstheme="minorHAnsi"/>
      <w:color w:val="005874"/>
      <w:sz w:val="16"/>
      <w:szCs w:val="16"/>
      <w:lang w:eastAsia="en-US"/>
    </w:rPr>
  </w:style>
  <w:style w:type="character" w:styleId="a9">
    <w:name w:val="Hyperlink"/>
    <w:basedOn w:val="a2"/>
    <w:uiPriority w:val="99"/>
    <w:unhideWhenUsed/>
    <w:rsid w:val="00BD5ED5"/>
    <w:rPr>
      <w:rFonts w:ascii="Calibri" w:hAnsi="Calibri"/>
      <w:color w:val="005874"/>
      <w:sz w:val="22"/>
      <w:u w:val="single"/>
    </w:rPr>
  </w:style>
  <w:style w:type="paragraph" w:customStyle="1" w:styleId="CERbullets">
    <w:name w:val="CER bullets"/>
    <w:basedOn w:val="a1"/>
    <w:link w:val="CERbulletsChar"/>
    <w:uiPriority w:val="7"/>
    <w:qFormat/>
    <w:rsid w:val="00FA7635"/>
    <w:pPr>
      <w:numPr>
        <w:numId w:val="21"/>
      </w:numPr>
      <w:spacing w:before="120" w:after="120"/>
      <w:ind w:left="357" w:hanging="357"/>
    </w:pPr>
    <w:rPr>
      <w:color w:val="auto"/>
    </w:rPr>
  </w:style>
  <w:style w:type="character" w:customStyle="1" w:styleId="CERbulletsChar">
    <w:name w:val="CER bullets Char"/>
    <w:basedOn w:val="a2"/>
    <w:link w:val="CERbullets"/>
    <w:uiPriority w:val="7"/>
    <w:rsid w:val="00FA7635"/>
    <w:rPr>
      <w:rFonts w:asciiTheme="minorHAnsi" w:hAnsiTheme="minorHAnsi" w:cstheme="minorHAnsi"/>
      <w:sz w:val="22"/>
      <w:szCs w:val="24"/>
      <w:lang w:eastAsia="en-US"/>
    </w:rPr>
  </w:style>
  <w:style w:type="table" w:customStyle="1" w:styleId="CERTable">
    <w:name w:val="CER Table"/>
    <w:basedOn w:val="a3"/>
    <w:uiPriority w:val="99"/>
    <w:rsid w:val="006423DF"/>
    <w:pPr>
      <w:spacing w:before="120"/>
    </w:pPr>
    <w:rPr>
      <w:rFonts w:ascii="Arial" w:hAnsi="Arial"/>
      <w:color w:val="000000" w:themeColor="text1"/>
      <w:kern w:val="2"/>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Arial Bold" w:hAnsi="Arial Bold"/>
        <w:b/>
        <w:color w:val="auto"/>
        <w:sz w:val="20"/>
      </w:rPr>
      <w:tblPr/>
      <w:tcPr>
        <w:shd w:val="clear" w:color="auto" w:fill="CDCDCD"/>
      </w:tcPr>
    </w:tblStylePr>
    <w:tblStylePr w:type="lastRow">
      <w:pPr>
        <w:wordWrap/>
        <w:spacing w:beforeLines="0" w:before="10" w:beforeAutospacing="0" w:afterLines="0" w:after="10" w:afterAutospacing="0"/>
      </w:pPr>
      <w:tblPr/>
      <w:tcPr>
        <w:vAlign w:val="center"/>
      </w:tcPr>
    </w:tblStylePr>
    <w:tblStylePr w:type="firstCol">
      <w:pPr>
        <w:wordWrap/>
        <w:ind w:leftChars="0" w:left="0" w:rightChars="0" w:right="0"/>
        <w:contextualSpacing w:val="0"/>
      </w:pPr>
      <w:rPr>
        <w:rFonts w:ascii="Arial Bold" w:hAnsi="Arial Bold"/>
        <w:b/>
        <w:i w:val="0"/>
        <w:color w:val="000000" w:themeColor="text1"/>
      </w:rPr>
      <w:tblPr/>
      <w:tcPr>
        <w:shd w:val="clear" w:color="auto" w:fill="EAE9E7"/>
      </w:tcPr>
    </w:tblStylePr>
    <w:tblStylePr w:type="band1Horz">
      <w:rPr>
        <w:rFonts w:ascii="Arial" w:hAnsi="Arial"/>
      </w:rPr>
    </w:tblStylePr>
    <w:tblStylePr w:type="band2Horz">
      <w:rPr>
        <w:rFonts w:ascii="Arial" w:hAnsi="Arial"/>
      </w:rPr>
    </w:tblStylePr>
  </w:style>
  <w:style w:type="character" w:customStyle="1" w:styleId="51">
    <w:name w:val="标题 5 字符"/>
    <w:aliases w:val="CER Heading 5 字符,ERAC Heading 5 字符"/>
    <w:basedOn w:val="a2"/>
    <w:link w:val="50"/>
    <w:uiPriority w:val="6"/>
    <w:rsid w:val="00FA7635"/>
    <w:rPr>
      <w:rFonts w:asciiTheme="minorHAnsi" w:eastAsiaTheme="majorEastAsia" w:hAnsiTheme="minorHAnsi" w:cstheme="majorBidi"/>
      <w:b/>
      <w:color w:val="000000" w:themeColor="text1"/>
      <w:sz w:val="22"/>
      <w:szCs w:val="24"/>
      <w:lang w:eastAsia="en-US"/>
    </w:rPr>
  </w:style>
  <w:style w:type="table" w:styleId="aa">
    <w:name w:val="Table Grid"/>
    <w:basedOn w:val="a3"/>
    <w:uiPriority w:val="59"/>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a3"/>
    <w:uiPriority w:val="99"/>
    <w:rsid w:val="00235B98"/>
    <w:pPr>
      <w:ind w:left="284" w:right="284"/>
    </w:pPr>
    <w:rPr>
      <w:rFonts w:ascii="Arial" w:hAnsi="Arial"/>
    </w:rPr>
    <w:tblPr>
      <w:tblCellSpacing w:w="142" w:type="dxa"/>
      <w:tblCellMar>
        <w:left w:w="0" w:type="dxa"/>
        <w:right w:w="0" w:type="dxa"/>
      </w:tblCellMar>
    </w:tblPr>
    <w:trPr>
      <w:cantSplit/>
      <w:tblCellSpacing w:w="142" w:type="dxa"/>
    </w:trPr>
    <w:tcPr>
      <w:shd w:val="pct5" w:color="auto" w:fill="auto"/>
      <w:tcMar>
        <w:top w:w="284" w:type="dxa"/>
        <w:left w:w="284" w:type="dxa"/>
        <w:bottom w:w="284" w:type="dxa"/>
        <w:right w:w="284" w:type="dxa"/>
      </w:tcMar>
    </w:tcPr>
  </w:style>
  <w:style w:type="character" w:customStyle="1" w:styleId="70">
    <w:name w:val="标题 7 字符"/>
    <w:basedOn w:val="a2"/>
    <w:link w:val="7"/>
    <w:uiPriority w:val="99"/>
    <w:rsid w:val="009D4D75"/>
    <w:rPr>
      <w:rFonts w:asciiTheme="minorHAnsi" w:eastAsiaTheme="majorEastAsia" w:hAnsiTheme="minorHAnsi" w:cstheme="majorBidi"/>
      <w:i/>
      <w:iCs/>
      <w:color w:val="404040" w:themeColor="text1" w:themeTint="BF"/>
      <w:sz w:val="22"/>
      <w:szCs w:val="24"/>
      <w:lang w:eastAsia="en-US"/>
    </w:rPr>
  </w:style>
  <w:style w:type="character" w:styleId="ab">
    <w:name w:val="FollowedHyperlink"/>
    <w:basedOn w:val="a2"/>
    <w:uiPriority w:val="99"/>
    <w:rsid w:val="00BD5ED5"/>
    <w:rPr>
      <w:rFonts w:asciiTheme="minorHAnsi" w:hAnsiTheme="minorHAnsi"/>
      <w:color w:val="00A7D3"/>
      <w:sz w:val="22"/>
      <w:u w:val="single"/>
    </w:rPr>
  </w:style>
  <w:style w:type="paragraph" w:customStyle="1" w:styleId="CERcovertitle">
    <w:name w:val="CER cover title"/>
    <w:basedOn w:val="a1"/>
    <w:link w:val="CERcovertitleChar"/>
    <w:uiPriority w:val="8"/>
    <w:rsid w:val="00193A6C"/>
    <w:pPr>
      <w:spacing w:before="5160" w:after="0"/>
    </w:pPr>
    <w:rPr>
      <w:b/>
      <w:noProof/>
      <w:color w:val="FFFFFF" w:themeColor="background1"/>
      <w:sz w:val="40"/>
      <w:lang w:eastAsia="en-AU"/>
    </w:rPr>
  </w:style>
  <w:style w:type="paragraph" w:customStyle="1" w:styleId="CERcoversubtitle">
    <w:name w:val="CER cover subtitle"/>
    <w:basedOn w:val="20"/>
    <w:link w:val="CERcoversubtitleChar"/>
    <w:uiPriority w:val="8"/>
    <w:rsid w:val="00193A6C"/>
    <w:rPr>
      <w:color w:val="FFFFFF" w:themeColor="background1"/>
    </w:rPr>
  </w:style>
  <w:style w:type="character" w:customStyle="1" w:styleId="CERcovertitleChar">
    <w:name w:val="CER cover title Char"/>
    <w:basedOn w:val="a2"/>
    <w:link w:val="CERcovertitle"/>
    <w:uiPriority w:val="8"/>
    <w:rsid w:val="00193A6C"/>
    <w:rPr>
      <w:rFonts w:asciiTheme="minorHAnsi" w:hAnsiTheme="minorHAnsi" w:cstheme="minorHAnsi"/>
      <w:b/>
      <w:noProof/>
      <w:color w:val="FFFFFF" w:themeColor="background1"/>
      <w:sz w:val="40"/>
      <w:szCs w:val="24"/>
    </w:rPr>
  </w:style>
  <w:style w:type="paragraph" w:customStyle="1" w:styleId="CERnumbering">
    <w:name w:val="CER numbering"/>
    <w:basedOn w:val="CERbullets"/>
    <w:link w:val="CERnumberingChar"/>
    <w:uiPriority w:val="8"/>
    <w:qFormat/>
    <w:rsid w:val="00193A6C"/>
    <w:pPr>
      <w:numPr>
        <w:numId w:val="30"/>
      </w:numPr>
    </w:pPr>
  </w:style>
  <w:style w:type="character" w:customStyle="1" w:styleId="CERcoversubtitleChar">
    <w:name w:val="CER cover subtitle Char"/>
    <w:basedOn w:val="21"/>
    <w:link w:val="CERcoversubtitle"/>
    <w:uiPriority w:val="8"/>
    <w:rsid w:val="00193A6C"/>
    <w:rPr>
      <w:rFonts w:asciiTheme="minorHAnsi" w:eastAsia="Times New Roman" w:hAnsiTheme="minorHAnsi" w:cstheme="minorHAnsi"/>
      <w:b/>
      <w:bCs/>
      <w:color w:val="FFFFFF" w:themeColor="background1"/>
      <w:sz w:val="30"/>
      <w:szCs w:val="26"/>
      <w:lang w:eastAsia="en-US"/>
    </w:rPr>
  </w:style>
  <w:style w:type="character" w:customStyle="1" w:styleId="CERnumberingChar">
    <w:name w:val="CER numbering Char"/>
    <w:basedOn w:val="CERbulletsChar"/>
    <w:link w:val="CERnumbering"/>
    <w:uiPriority w:val="8"/>
    <w:rsid w:val="00193A6C"/>
    <w:rPr>
      <w:rFonts w:asciiTheme="minorHAnsi" w:hAnsiTheme="minorHAnsi" w:cstheme="minorHAnsi"/>
      <w:sz w:val="22"/>
      <w:szCs w:val="24"/>
      <w:lang w:eastAsia="en-US"/>
    </w:rPr>
  </w:style>
  <w:style w:type="character" w:styleId="ac">
    <w:name w:val="Placeholder Text"/>
    <w:basedOn w:val="a2"/>
    <w:uiPriority w:val="99"/>
    <w:rsid w:val="00930D2E"/>
    <w:rPr>
      <w:color w:val="808080"/>
    </w:rPr>
  </w:style>
  <w:style w:type="character" w:customStyle="1" w:styleId="Protectivemarker">
    <w:name w:val="Protective marker"/>
    <w:basedOn w:val="a2"/>
    <w:uiPriority w:val="1"/>
    <w:rsid w:val="00F76419"/>
    <w:rPr>
      <w:rFonts w:asciiTheme="minorHAnsi" w:hAnsiTheme="minorHAnsi"/>
      <w:b/>
      <w:color w:val="FF0000"/>
      <w:sz w:val="28"/>
    </w:rPr>
  </w:style>
  <w:style w:type="paragraph" w:customStyle="1" w:styleId="LegislativesecrecyACT">
    <w:name w:val="Legislative secrecy ACT"/>
    <w:basedOn w:val="50"/>
    <w:uiPriority w:val="8"/>
    <w:qFormat/>
    <w:rsid w:val="00F76419"/>
    <w:pPr>
      <w:tabs>
        <w:tab w:val="center" w:pos="4870"/>
        <w:tab w:val="left" w:pos="8745"/>
      </w:tabs>
      <w:spacing w:before="0" w:after="120"/>
      <w:jc w:val="center"/>
    </w:pPr>
    <w:rPr>
      <w:color w:val="auto"/>
      <w:sz w:val="24"/>
    </w:rPr>
  </w:style>
  <w:style w:type="paragraph" w:styleId="TOC2">
    <w:name w:val="toc 2"/>
    <w:basedOn w:val="a1"/>
    <w:next w:val="a1"/>
    <w:autoRedefine/>
    <w:uiPriority w:val="39"/>
    <w:unhideWhenUsed/>
    <w:rsid w:val="002368DE"/>
    <w:pPr>
      <w:spacing w:after="100" w:line="276" w:lineRule="auto"/>
      <w:ind w:left="220"/>
    </w:pPr>
    <w:rPr>
      <w:rFonts w:ascii="Arial" w:eastAsia="Calibri" w:hAnsi="Arial" w:cs="Times New Roman"/>
      <w:color w:val="auto"/>
      <w:szCs w:val="22"/>
    </w:rPr>
  </w:style>
  <w:style w:type="paragraph" w:styleId="TOC3">
    <w:name w:val="toc 3"/>
    <w:basedOn w:val="a1"/>
    <w:next w:val="a1"/>
    <w:autoRedefine/>
    <w:uiPriority w:val="39"/>
    <w:unhideWhenUsed/>
    <w:rsid w:val="002368DE"/>
    <w:pPr>
      <w:spacing w:after="100" w:line="276" w:lineRule="auto"/>
      <w:ind w:left="440"/>
    </w:pPr>
    <w:rPr>
      <w:rFonts w:ascii="Arial" w:eastAsia="Calibri" w:hAnsi="Arial" w:cs="Times New Roman"/>
      <w:color w:val="auto"/>
      <w:szCs w:val="22"/>
    </w:rPr>
  </w:style>
  <w:style w:type="paragraph" w:styleId="ad">
    <w:name w:val="footnote text"/>
    <w:basedOn w:val="a1"/>
    <w:link w:val="ae"/>
    <w:uiPriority w:val="99"/>
    <w:semiHidden/>
    <w:unhideWhenUsed/>
    <w:rsid w:val="002368DE"/>
    <w:pPr>
      <w:spacing w:after="0"/>
    </w:pPr>
    <w:rPr>
      <w:rFonts w:ascii="Arial" w:eastAsia="Calibri" w:hAnsi="Arial" w:cs="Times New Roman"/>
      <w:color w:val="auto"/>
      <w:sz w:val="20"/>
      <w:szCs w:val="20"/>
    </w:rPr>
  </w:style>
  <w:style w:type="character" w:customStyle="1" w:styleId="ae">
    <w:name w:val="脚注文本 字符"/>
    <w:basedOn w:val="a2"/>
    <w:link w:val="ad"/>
    <w:uiPriority w:val="99"/>
    <w:semiHidden/>
    <w:rsid w:val="002368DE"/>
    <w:rPr>
      <w:rFonts w:ascii="Arial" w:eastAsia="Calibri" w:hAnsi="Arial"/>
      <w:lang w:eastAsia="en-US"/>
    </w:rPr>
  </w:style>
  <w:style w:type="paragraph" w:styleId="a">
    <w:name w:val="List Bullet"/>
    <w:basedOn w:val="a1"/>
    <w:uiPriority w:val="99"/>
    <w:semiHidden/>
    <w:unhideWhenUsed/>
    <w:qFormat/>
    <w:rsid w:val="002368DE"/>
    <w:pPr>
      <w:numPr>
        <w:numId w:val="31"/>
      </w:numPr>
      <w:spacing w:line="276" w:lineRule="auto"/>
    </w:pPr>
    <w:rPr>
      <w:rFonts w:ascii="Arial" w:eastAsia="Calibri" w:hAnsi="Arial" w:cs="Times New Roman"/>
      <w:color w:val="auto"/>
      <w:szCs w:val="22"/>
    </w:rPr>
  </w:style>
  <w:style w:type="paragraph" w:styleId="2">
    <w:name w:val="List Bullet 2"/>
    <w:basedOn w:val="a1"/>
    <w:uiPriority w:val="99"/>
    <w:semiHidden/>
    <w:unhideWhenUsed/>
    <w:rsid w:val="002368DE"/>
    <w:pPr>
      <w:numPr>
        <w:ilvl w:val="1"/>
        <w:numId w:val="31"/>
      </w:numPr>
      <w:spacing w:line="276" w:lineRule="auto"/>
    </w:pPr>
    <w:rPr>
      <w:rFonts w:ascii="Arial" w:eastAsia="Calibri" w:hAnsi="Arial" w:cs="Times New Roman"/>
      <w:color w:val="auto"/>
      <w:szCs w:val="22"/>
    </w:rPr>
  </w:style>
  <w:style w:type="paragraph" w:styleId="3">
    <w:name w:val="List Bullet 3"/>
    <w:basedOn w:val="a1"/>
    <w:uiPriority w:val="99"/>
    <w:semiHidden/>
    <w:unhideWhenUsed/>
    <w:rsid w:val="002368DE"/>
    <w:pPr>
      <w:numPr>
        <w:ilvl w:val="2"/>
        <w:numId w:val="31"/>
      </w:numPr>
      <w:spacing w:line="276" w:lineRule="auto"/>
    </w:pPr>
    <w:rPr>
      <w:rFonts w:ascii="Arial" w:eastAsia="Calibri" w:hAnsi="Arial" w:cs="Times New Roman"/>
      <w:color w:val="auto"/>
      <w:szCs w:val="22"/>
    </w:rPr>
  </w:style>
  <w:style w:type="paragraph" w:styleId="4">
    <w:name w:val="List Bullet 4"/>
    <w:basedOn w:val="a1"/>
    <w:uiPriority w:val="99"/>
    <w:semiHidden/>
    <w:unhideWhenUsed/>
    <w:rsid w:val="002368DE"/>
    <w:pPr>
      <w:numPr>
        <w:ilvl w:val="3"/>
        <w:numId w:val="31"/>
      </w:numPr>
      <w:spacing w:line="276" w:lineRule="auto"/>
    </w:pPr>
    <w:rPr>
      <w:rFonts w:ascii="Arial" w:eastAsia="Calibri" w:hAnsi="Arial" w:cs="Times New Roman"/>
      <w:color w:val="auto"/>
      <w:szCs w:val="22"/>
    </w:rPr>
  </w:style>
  <w:style w:type="paragraph" w:styleId="5">
    <w:name w:val="List Bullet 5"/>
    <w:basedOn w:val="a1"/>
    <w:uiPriority w:val="99"/>
    <w:semiHidden/>
    <w:unhideWhenUsed/>
    <w:rsid w:val="002368DE"/>
    <w:pPr>
      <w:numPr>
        <w:ilvl w:val="4"/>
        <w:numId w:val="31"/>
      </w:numPr>
      <w:spacing w:line="276" w:lineRule="auto"/>
    </w:pPr>
    <w:rPr>
      <w:rFonts w:ascii="Arial" w:eastAsia="Calibri" w:hAnsi="Arial" w:cs="Times New Roman"/>
      <w:color w:val="auto"/>
      <w:szCs w:val="22"/>
    </w:rPr>
  </w:style>
  <w:style w:type="character" w:customStyle="1" w:styleId="af">
    <w:name w:val="列表段落 字符"/>
    <w:basedOn w:val="a2"/>
    <w:link w:val="a0"/>
    <w:uiPriority w:val="34"/>
    <w:locked/>
    <w:rsid w:val="002368DE"/>
    <w:rPr>
      <w:rFonts w:ascii="Arial" w:eastAsia="Calibri" w:hAnsi="Arial"/>
      <w:sz w:val="22"/>
      <w:szCs w:val="22"/>
      <w:lang w:eastAsia="en-US"/>
    </w:rPr>
  </w:style>
  <w:style w:type="paragraph" w:styleId="a0">
    <w:name w:val="List Paragraph"/>
    <w:basedOn w:val="a1"/>
    <w:link w:val="af"/>
    <w:uiPriority w:val="34"/>
    <w:qFormat/>
    <w:rsid w:val="002368DE"/>
    <w:pPr>
      <w:numPr>
        <w:numId w:val="32"/>
      </w:numPr>
      <w:spacing w:line="276" w:lineRule="auto"/>
    </w:pPr>
    <w:rPr>
      <w:rFonts w:ascii="Arial" w:eastAsia="Calibri" w:hAnsi="Arial" w:cs="Times New Roman"/>
      <w:color w:val="auto"/>
      <w:szCs w:val="22"/>
    </w:rPr>
  </w:style>
  <w:style w:type="paragraph" w:styleId="TOC">
    <w:name w:val="TOC Heading"/>
    <w:basedOn w:val="1"/>
    <w:next w:val="a1"/>
    <w:uiPriority w:val="39"/>
    <w:unhideWhenUsed/>
    <w:qFormat/>
    <w:rsid w:val="002368DE"/>
    <w:pPr>
      <w:keepLines/>
      <w:spacing w:before="240" w:after="0" w:line="256" w:lineRule="auto"/>
      <w:outlineLvl w:val="9"/>
    </w:pPr>
    <w:rPr>
      <w:rFonts w:asciiTheme="majorHAnsi" w:eastAsiaTheme="majorEastAsia" w:hAnsiTheme="majorHAnsi" w:cstheme="majorBidi"/>
      <w:b w:val="0"/>
      <w:bCs w:val="0"/>
      <w:color w:val="365F91" w:themeColor="accent1" w:themeShade="BF"/>
      <w:kern w:val="0"/>
      <w:sz w:val="32"/>
      <w:szCs w:val="32"/>
      <w:lang w:val="en-US"/>
    </w:rPr>
  </w:style>
  <w:style w:type="character" w:customStyle="1" w:styleId="ERACbulletsChar">
    <w:name w:val="ERAC bullets Char"/>
    <w:basedOn w:val="a2"/>
    <w:link w:val="ERACbullets"/>
    <w:uiPriority w:val="7"/>
    <w:locked/>
    <w:rsid w:val="002368DE"/>
    <w:rPr>
      <w:rFonts w:ascii="Arial" w:eastAsia="Calibri" w:hAnsi="Arial"/>
      <w:sz w:val="22"/>
      <w:szCs w:val="22"/>
      <w:lang w:eastAsia="en-US"/>
    </w:rPr>
  </w:style>
  <w:style w:type="paragraph" w:customStyle="1" w:styleId="ERACbullets">
    <w:name w:val="ERAC bullets"/>
    <w:basedOn w:val="a1"/>
    <w:link w:val="ERACbulletsChar"/>
    <w:uiPriority w:val="7"/>
    <w:qFormat/>
    <w:rsid w:val="002368DE"/>
    <w:pPr>
      <w:spacing w:before="120" w:after="120" w:line="276" w:lineRule="auto"/>
      <w:ind w:left="357" w:hanging="357"/>
    </w:pPr>
    <w:rPr>
      <w:rFonts w:ascii="Arial" w:eastAsia="Calibri" w:hAnsi="Arial" w:cs="Times New Roman"/>
      <w:color w:val="auto"/>
      <w:szCs w:val="22"/>
    </w:rPr>
  </w:style>
  <w:style w:type="character" w:customStyle="1" w:styleId="ERACnumberingChar">
    <w:name w:val="ERAC numbering Char"/>
    <w:basedOn w:val="a2"/>
    <w:link w:val="ERACnumbering"/>
    <w:uiPriority w:val="8"/>
    <w:locked/>
    <w:rsid w:val="002368DE"/>
    <w:rPr>
      <w:rFonts w:ascii="Arial" w:eastAsia="Calibri" w:hAnsi="Arial"/>
      <w:sz w:val="22"/>
      <w:szCs w:val="22"/>
      <w:lang w:eastAsia="en-US"/>
    </w:rPr>
  </w:style>
  <w:style w:type="paragraph" w:customStyle="1" w:styleId="ERACnumbering">
    <w:name w:val="ERAC numbering"/>
    <w:basedOn w:val="a1"/>
    <w:link w:val="ERACnumberingChar"/>
    <w:uiPriority w:val="8"/>
    <w:qFormat/>
    <w:rsid w:val="002368DE"/>
    <w:pPr>
      <w:spacing w:before="120" w:after="120" w:line="276" w:lineRule="auto"/>
      <w:ind w:left="360" w:hanging="360"/>
    </w:pPr>
    <w:rPr>
      <w:rFonts w:ascii="Arial" w:eastAsia="Calibri" w:hAnsi="Arial" w:cs="Times New Roman"/>
      <w:color w:val="auto"/>
      <w:szCs w:val="22"/>
    </w:rPr>
  </w:style>
  <w:style w:type="paragraph" w:customStyle="1" w:styleId="Default">
    <w:name w:val="Default"/>
    <w:rsid w:val="002368DE"/>
    <w:pPr>
      <w:autoSpaceDE w:val="0"/>
      <w:autoSpaceDN w:val="0"/>
      <w:adjustRightInd w:val="0"/>
    </w:pPr>
    <w:rPr>
      <w:rFonts w:ascii="Calibri" w:eastAsia="Calibri" w:hAnsi="Calibri" w:cs="Calibri"/>
      <w:color w:val="000000"/>
      <w:sz w:val="24"/>
      <w:szCs w:val="24"/>
    </w:rPr>
  </w:style>
  <w:style w:type="character" w:styleId="af0">
    <w:name w:val="footnote reference"/>
    <w:basedOn w:val="a2"/>
    <w:uiPriority w:val="99"/>
    <w:semiHidden/>
    <w:unhideWhenUsed/>
    <w:rsid w:val="002368DE"/>
    <w:rPr>
      <w:vertAlign w:val="superscript"/>
    </w:rPr>
  </w:style>
  <w:style w:type="paragraph" w:styleId="af1">
    <w:name w:val="Normal (Web)"/>
    <w:basedOn w:val="a1"/>
    <w:uiPriority w:val="99"/>
    <w:semiHidden/>
    <w:unhideWhenUsed/>
    <w:rsid w:val="00EA223C"/>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868958">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094589009">
      <w:bodyDiv w:val="1"/>
      <w:marLeft w:val="0"/>
      <w:marRight w:val="0"/>
      <w:marTop w:val="0"/>
      <w:marBottom w:val="0"/>
      <w:divBdr>
        <w:top w:val="none" w:sz="0" w:space="0" w:color="auto"/>
        <w:left w:val="none" w:sz="0" w:space="0" w:color="auto"/>
        <w:bottom w:val="none" w:sz="0" w:space="0" w:color="auto"/>
        <w:right w:val="none" w:sz="0" w:space="0" w:color="auto"/>
      </w:divBdr>
    </w:div>
    <w:div w:id="135556878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b98728ac-f998-415c-abee-6b046fb1441e">
      <Terms xmlns="http://schemas.microsoft.com/office/infopath/2007/PartnerControls"/>
    </lcf76f155ced4ddcb4097134ff3c332f>
    <SharedWithUsers xmlns="d869c146-c82e-4435-92e4-da91542262fd">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3A4F77836BB3D4E8942C3BA8310D952" ma:contentTypeVersion="14" ma:contentTypeDescription="Create a new document." ma:contentTypeScope="" ma:versionID="d2575a541de4f6f4146f87d786cddbb4">
  <xsd:schema xmlns:xsd="http://www.w3.org/2001/XMLSchema" xmlns:xs="http://www.w3.org/2001/XMLSchema" xmlns:p="http://schemas.microsoft.com/office/2006/metadata/properties" xmlns:ns2="b98728ac-f998-415c-abee-6b046fb1441e" xmlns:ns3="81c01dc6-2c49-4730-b140-874c95cac377" xmlns:ns4="d869c146-c82e-4435-92e4-da91542262fd" targetNamespace="http://schemas.microsoft.com/office/2006/metadata/properties" ma:root="true" ma:fieldsID="4bfd732ecb4d90ac731c1f8eb5d3dcdc" ns2:_="" ns3:_="" ns4:_="">
    <xsd:import namespace="b98728ac-f998-415c-abee-6b046fb1441e"/>
    <xsd:import namespace="81c01dc6-2c49-4730-b140-874c95cac377"/>
    <xsd:import namespace="d869c146-c82e-4435-92e4-da91542262f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4:SharedWithUsers" minOccurs="0"/>
                <xsd:element ref="ns4:SharedWithDetails"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36b5be2-cf4e-43ec-8734-a0fb5251e776}" ma:internalName="TaxCatchAll" ma:showField="CatchAllData" ma:web="d869c146-c82e-4435-92e4-da91542262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A50DB8-A350-4404-BF51-9D6AE1B3883D}">
  <ds:schemaRefs>
    <ds:schemaRef ds:uri="http://schemas.openxmlformats.org/officeDocument/2006/bibliography"/>
  </ds:schemaRefs>
</ds:datastoreItem>
</file>

<file path=customXml/itemProps3.xml><?xml version="1.0" encoding="utf-8"?>
<ds:datastoreItem xmlns:ds="http://schemas.openxmlformats.org/officeDocument/2006/customXml" ds:itemID="{DEE03F18-2B7E-456C-AA3A-BD433E154599}">
  <ds:schemaRefs>
    <ds:schemaRef ds:uri="http://schemas.microsoft.com/sharepoint/v3/contenttype/forms"/>
  </ds:schemaRefs>
</ds:datastoreItem>
</file>

<file path=customXml/itemProps4.xml><?xml version="1.0" encoding="utf-8"?>
<ds:datastoreItem xmlns:ds="http://schemas.openxmlformats.org/officeDocument/2006/customXml" ds:itemID="{2F3D7C6F-2C2D-4726-8DB6-DE376A24683D}">
  <ds:schemaRefs>
    <ds:schemaRef ds:uri="http://schemas.microsoft.com/office/2006/metadata/properties"/>
    <ds:schemaRef ds:uri="http://schemas.microsoft.com/office/infopath/2007/PartnerControls"/>
    <ds:schemaRef ds:uri="81c01dc6-2c49-4730-b140-874c95cac377"/>
    <ds:schemaRef ds:uri="b98728ac-f998-415c-abee-6b046fb1441e"/>
    <ds:schemaRef ds:uri="d869c146-c82e-4435-92e4-da91542262fd"/>
  </ds:schemaRefs>
</ds:datastoreItem>
</file>

<file path=customXml/itemProps5.xml><?xml version="1.0" encoding="utf-8"?>
<ds:datastoreItem xmlns:ds="http://schemas.openxmlformats.org/officeDocument/2006/customXml" ds:itemID="{2470C824-4E7D-4097-BAB7-4BF4FFE3E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728ac-f998-415c-abee-6b046fb1441e"/>
    <ds:schemaRef ds:uri="81c01dc6-2c49-4730-b140-874c95cac377"/>
    <ds:schemaRef ds:uri="d869c146-c82e-4435-92e4-da9154226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3637</TotalTime>
  <Pages>15</Pages>
  <Words>4819</Words>
  <Characters>27470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ERAC Information Paper on the Offsets Integrity Standards</vt:lpstr>
    </vt:vector>
  </TitlesOfParts>
  <Company/>
  <LinksUpToDate>false</LinksUpToDate>
  <CharactersWithSpaces>32225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ERAC Information Paper on the Offsets Integrity Standards</dc:title>
  <dc:subject/>
  <cp:keywords/>
  <cp:lastModifiedBy>Joon Tsang</cp:lastModifiedBy>
  <cp:revision>14</cp:revision>
  <dcterms:created xsi:type="dcterms:W3CDTF">2023-11-02T02:54:00Z</dcterms:created>
  <dcterms:modified xsi:type="dcterms:W3CDTF">2026-04-26T13:02:00Z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0x0101004CA990AE4196FB498B9E8358DF466AC9</vt:lpwstr>
  </property>
  <property fmtid="{D5CDD505-2E9C-101B-9397-08002B2CF9AE}" pid="3" name="Order">
    <vt:r8>178100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